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F8" w:rsidRPr="0045169D" w:rsidRDefault="003B3948">
      <w:pPr>
        <w:rPr>
          <w:sz w:val="28"/>
          <w:szCs w:val="28"/>
        </w:rPr>
      </w:pPr>
      <w:proofErr w:type="gramStart"/>
      <w:r w:rsidRPr="0045169D">
        <w:rPr>
          <w:sz w:val="28"/>
          <w:szCs w:val="28"/>
        </w:rPr>
        <w:t>NAMA :</w:t>
      </w:r>
      <w:proofErr w:type="gramEnd"/>
      <w:r w:rsidRPr="0045169D">
        <w:rPr>
          <w:sz w:val="28"/>
          <w:szCs w:val="28"/>
        </w:rPr>
        <w:t xml:space="preserve"> RAHMA ANITA </w:t>
      </w:r>
    </w:p>
    <w:p w:rsidR="003B3948" w:rsidRPr="0045169D" w:rsidRDefault="003B3948">
      <w:pPr>
        <w:rPr>
          <w:sz w:val="28"/>
          <w:szCs w:val="28"/>
        </w:rPr>
      </w:pPr>
      <w:proofErr w:type="gramStart"/>
      <w:r w:rsidRPr="0045169D">
        <w:rPr>
          <w:sz w:val="28"/>
          <w:szCs w:val="28"/>
        </w:rPr>
        <w:t>NPM :2012011009</w:t>
      </w:r>
      <w:proofErr w:type="gramEnd"/>
    </w:p>
    <w:p w:rsidR="003B3948" w:rsidRPr="0045169D" w:rsidRDefault="003B3948">
      <w:pPr>
        <w:rPr>
          <w:sz w:val="28"/>
          <w:szCs w:val="28"/>
        </w:rPr>
      </w:pPr>
      <w:proofErr w:type="gramStart"/>
      <w:r w:rsidRPr="0045169D">
        <w:rPr>
          <w:sz w:val="28"/>
          <w:szCs w:val="28"/>
        </w:rPr>
        <w:t>DOSEN :</w:t>
      </w:r>
      <w:proofErr w:type="gramEnd"/>
      <w:r w:rsidRPr="0045169D">
        <w:rPr>
          <w:sz w:val="28"/>
          <w:szCs w:val="28"/>
        </w:rPr>
        <w:t xml:space="preserve"> BAYU SUJADMIKO,S.H.,M.H.,Ph.D</w:t>
      </w:r>
    </w:p>
    <w:p w:rsidR="003B3948" w:rsidRPr="0045169D" w:rsidRDefault="003B3948">
      <w:pPr>
        <w:rPr>
          <w:sz w:val="24"/>
          <w:szCs w:val="24"/>
        </w:rPr>
      </w:pPr>
      <w:r w:rsidRPr="0045169D">
        <w:rPr>
          <w:sz w:val="24"/>
          <w:szCs w:val="24"/>
        </w:rPr>
        <w:t>Kuis HI</w:t>
      </w:r>
    </w:p>
    <w:p w:rsidR="003B3948" w:rsidRPr="0045169D" w:rsidRDefault="003B3948" w:rsidP="003B3948">
      <w:pPr>
        <w:pStyle w:val="ListParagraph"/>
        <w:numPr>
          <w:ilvl w:val="0"/>
          <w:numId w:val="1"/>
        </w:numPr>
        <w:rPr>
          <w:sz w:val="24"/>
          <w:szCs w:val="24"/>
        </w:rPr>
      </w:pPr>
      <w:r w:rsidRPr="0045169D">
        <w:rPr>
          <w:sz w:val="24"/>
          <w:szCs w:val="24"/>
        </w:rPr>
        <w:t xml:space="preserve">Dua bagian hukum internasional </w:t>
      </w:r>
    </w:p>
    <w:p w:rsidR="003B3948" w:rsidRPr="0045169D" w:rsidRDefault="003B3948" w:rsidP="003B3948">
      <w:pPr>
        <w:pStyle w:val="ListParagraph"/>
        <w:numPr>
          <w:ilvl w:val="0"/>
          <w:numId w:val="2"/>
        </w:numPr>
        <w:rPr>
          <w:sz w:val="24"/>
          <w:szCs w:val="24"/>
        </w:rPr>
      </w:pPr>
      <w:r w:rsidRPr="0045169D">
        <w:rPr>
          <w:sz w:val="24"/>
          <w:szCs w:val="24"/>
        </w:rPr>
        <w:t xml:space="preserve">Hukum Perdata Internasional adalah hukum internasional yang mengatur hubungan hukum antara warga negara disuatu negara dengan warga negara dinegara lain (hukum antar bangsa) </w:t>
      </w:r>
    </w:p>
    <w:p w:rsidR="003B3948" w:rsidRPr="0045169D" w:rsidRDefault="003B3948" w:rsidP="003B3948">
      <w:pPr>
        <w:pStyle w:val="ListParagraph"/>
        <w:numPr>
          <w:ilvl w:val="0"/>
          <w:numId w:val="2"/>
        </w:numPr>
        <w:rPr>
          <w:sz w:val="24"/>
          <w:szCs w:val="24"/>
        </w:rPr>
      </w:pPr>
      <w:r w:rsidRPr="0045169D">
        <w:rPr>
          <w:sz w:val="24"/>
          <w:szCs w:val="24"/>
        </w:rPr>
        <w:t>Hukum Publik Internasional adalah internasional yang mengatur negara yang satu dengan negara lainnya dalam hubungan internasional (hukum antarnegara)</w:t>
      </w:r>
    </w:p>
    <w:p w:rsidR="003B3948" w:rsidRPr="0045169D" w:rsidRDefault="000868AF" w:rsidP="003B3948">
      <w:pPr>
        <w:pStyle w:val="ListParagraph"/>
        <w:numPr>
          <w:ilvl w:val="0"/>
          <w:numId w:val="1"/>
        </w:numPr>
        <w:rPr>
          <w:sz w:val="24"/>
          <w:szCs w:val="24"/>
        </w:rPr>
      </w:pPr>
      <w:r w:rsidRPr="0045169D">
        <w:rPr>
          <w:sz w:val="24"/>
          <w:szCs w:val="24"/>
        </w:rPr>
        <w:t xml:space="preserve">Perbedaan hukum internasional dan hukum negara / nasional </w:t>
      </w:r>
    </w:p>
    <w:p w:rsidR="000868AF" w:rsidRPr="0045169D" w:rsidRDefault="000868AF" w:rsidP="000868AF">
      <w:pPr>
        <w:pStyle w:val="ListParagraph"/>
        <w:numPr>
          <w:ilvl w:val="0"/>
          <w:numId w:val="3"/>
        </w:numPr>
        <w:rPr>
          <w:sz w:val="24"/>
          <w:szCs w:val="24"/>
        </w:rPr>
      </w:pPr>
      <w:r w:rsidRPr="0045169D">
        <w:rPr>
          <w:sz w:val="24"/>
          <w:szCs w:val="24"/>
        </w:rPr>
        <w:t xml:space="preserve">Hukum internasional </w:t>
      </w:r>
      <w:r w:rsidR="00EE3102" w:rsidRPr="0045169D">
        <w:rPr>
          <w:sz w:val="24"/>
          <w:szCs w:val="24"/>
        </w:rPr>
        <w:t xml:space="preserve">berdasarkan sumber hukumnya didasarkan pada hukum kebiasaan dan hukum yang lahir atas kehendak negara – negara lainnya dalam masyarakat internasional , subjek HI adalah seluruh negara – negara anggota yang ada di masyarakat internasional , HI lebih banyak mengatur hubungan – hubungan negara secara horizontal , </w:t>
      </w:r>
      <w:r w:rsidR="00A01BF4" w:rsidRPr="0045169D">
        <w:rPr>
          <w:sz w:val="24"/>
          <w:szCs w:val="24"/>
        </w:rPr>
        <w:t>HI tidak memiliki badan kelembagaan seperti legislatif.</w:t>
      </w:r>
    </w:p>
    <w:p w:rsidR="00EE3102" w:rsidRPr="0045169D" w:rsidRDefault="00EE3102" w:rsidP="000868AF">
      <w:pPr>
        <w:pStyle w:val="ListParagraph"/>
        <w:numPr>
          <w:ilvl w:val="0"/>
          <w:numId w:val="3"/>
        </w:numPr>
        <w:rPr>
          <w:sz w:val="24"/>
          <w:szCs w:val="24"/>
        </w:rPr>
      </w:pPr>
      <w:r w:rsidRPr="0045169D">
        <w:rPr>
          <w:sz w:val="24"/>
          <w:szCs w:val="24"/>
        </w:rPr>
        <w:t xml:space="preserve">Hukum nasional berdasarkan sumber hukumnya bersumber pada hukum kebiasaan dan hukum tertulis suatu </w:t>
      </w:r>
      <w:proofErr w:type="gramStart"/>
      <w:r w:rsidRPr="0045169D">
        <w:rPr>
          <w:sz w:val="24"/>
          <w:szCs w:val="24"/>
        </w:rPr>
        <w:t>negara ,</w:t>
      </w:r>
      <w:proofErr w:type="gramEnd"/>
      <w:r w:rsidRPr="0045169D">
        <w:rPr>
          <w:sz w:val="24"/>
          <w:szCs w:val="24"/>
        </w:rPr>
        <w:t xml:space="preserve"> subjek HN adalah individu – individu disuatu negara atau dinegara tersebut saja , kekuatan hukum yang mengikat penuh dan sempurna adalah ciri khas kekuatan hukum nasioanal</w:t>
      </w:r>
      <w:r w:rsidR="00A01BF4" w:rsidRPr="0045169D">
        <w:rPr>
          <w:sz w:val="24"/>
          <w:szCs w:val="24"/>
        </w:rPr>
        <w:t>.</w:t>
      </w:r>
    </w:p>
    <w:p w:rsidR="00A01BF4" w:rsidRPr="0045169D" w:rsidRDefault="00244FCD" w:rsidP="00A01BF4">
      <w:pPr>
        <w:pStyle w:val="ListParagraph"/>
        <w:numPr>
          <w:ilvl w:val="0"/>
          <w:numId w:val="1"/>
        </w:numPr>
        <w:rPr>
          <w:sz w:val="24"/>
          <w:szCs w:val="24"/>
        </w:rPr>
      </w:pPr>
      <w:r w:rsidRPr="0045169D">
        <w:rPr>
          <w:sz w:val="24"/>
          <w:szCs w:val="24"/>
        </w:rPr>
        <w:t xml:space="preserve">Perusahaan Internasional dapat menjadi subjek HI apabila didalam nya terdapat kerjasama dan perjanjian serta persetujuan (internasional) dengan negara </w:t>
      </w:r>
      <w:proofErr w:type="gramStart"/>
      <w:r w:rsidRPr="0045169D">
        <w:rPr>
          <w:sz w:val="24"/>
          <w:szCs w:val="24"/>
        </w:rPr>
        <w:t>lain</w:t>
      </w:r>
      <w:proofErr w:type="gramEnd"/>
      <w:r w:rsidRPr="0045169D">
        <w:rPr>
          <w:sz w:val="24"/>
          <w:szCs w:val="24"/>
        </w:rPr>
        <w:t xml:space="preserve"> karna dalam menciptakan itu semua diperlukan prinsip – prinsip umum HI. Itulah sebabnya perusahaan internasional dapat dikatakan sebagai subyek Hukum Internasionan.</w:t>
      </w:r>
    </w:p>
    <w:p w:rsidR="00244FCD" w:rsidRPr="0045169D" w:rsidRDefault="00244FCD" w:rsidP="00A01BF4">
      <w:pPr>
        <w:pStyle w:val="ListParagraph"/>
        <w:numPr>
          <w:ilvl w:val="0"/>
          <w:numId w:val="1"/>
        </w:numPr>
        <w:rPr>
          <w:sz w:val="24"/>
          <w:szCs w:val="24"/>
        </w:rPr>
      </w:pPr>
      <w:r w:rsidRPr="0045169D">
        <w:rPr>
          <w:sz w:val="24"/>
          <w:szCs w:val="24"/>
        </w:rPr>
        <w:t xml:space="preserve">Yang berhak menanda tangani sebuah perjanjian internasional telah diatur dalam UU Nomor 24 Tahun 2000 dimana dikatakan bahwa presiden dan mentri </w:t>
      </w:r>
      <w:r w:rsidR="00407580" w:rsidRPr="0045169D">
        <w:rPr>
          <w:sz w:val="24"/>
          <w:szCs w:val="24"/>
        </w:rPr>
        <w:t>lah yang memberikan kuasa pada satu atau beberapa orang yang dipercayai mewakilkan pemerintah Republik Indonesia untuk menanda tangani menyatakan persetujuan negara dalam perjanjian internasional.</w:t>
      </w:r>
    </w:p>
    <w:p w:rsidR="00407580" w:rsidRPr="0045169D" w:rsidRDefault="00407580" w:rsidP="00A01BF4">
      <w:pPr>
        <w:pStyle w:val="ListParagraph"/>
        <w:numPr>
          <w:ilvl w:val="0"/>
          <w:numId w:val="1"/>
        </w:numPr>
        <w:rPr>
          <w:sz w:val="24"/>
          <w:szCs w:val="24"/>
        </w:rPr>
      </w:pPr>
      <w:r w:rsidRPr="0045169D">
        <w:rPr>
          <w:sz w:val="24"/>
          <w:szCs w:val="24"/>
        </w:rPr>
        <w:t xml:space="preserve">Dalam menentukan jawaban ini kita dapat </w:t>
      </w:r>
      <w:r w:rsidR="005871BF" w:rsidRPr="0045169D">
        <w:rPr>
          <w:sz w:val="24"/>
          <w:szCs w:val="24"/>
        </w:rPr>
        <w:t xml:space="preserve">membaginya menjadi 2 aliran besar yang ada saat ini yaitu </w:t>
      </w:r>
    </w:p>
    <w:p w:rsidR="005871BF" w:rsidRPr="0045169D" w:rsidRDefault="005871BF" w:rsidP="005871BF">
      <w:pPr>
        <w:pStyle w:val="ListParagraph"/>
        <w:numPr>
          <w:ilvl w:val="0"/>
          <w:numId w:val="4"/>
        </w:numPr>
        <w:rPr>
          <w:sz w:val="24"/>
          <w:szCs w:val="24"/>
        </w:rPr>
      </w:pPr>
      <w:r w:rsidRPr="0045169D">
        <w:rPr>
          <w:sz w:val="24"/>
          <w:szCs w:val="24"/>
        </w:rPr>
        <w:t xml:space="preserve">Alian Hukum Monoisme merupakan keadaan dimana hukum internasional dan hukum nasional merupakan bagian yang saling berkaitan dengan sistem satu </w:t>
      </w:r>
      <w:r w:rsidRPr="0045169D">
        <w:rPr>
          <w:sz w:val="24"/>
          <w:szCs w:val="24"/>
        </w:rPr>
        <w:lastRenderedPageBreak/>
        <w:t xml:space="preserve">sitem hukum pada umumnya, dimana hukum internasional lebih diutamakan bila terjadi konflik antara hukum nasional dan hukum internasional </w:t>
      </w:r>
    </w:p>
    <w:p w:rsidR="005871BF" w:rsidRPr="0045169D" w:rsidRDefault="005871BF" w:rsidP="005871BF">
      <w:pPr>
        <w:pStyle w:val="ListParagraph"/>
        <w:numPr>
          <w:ilvl w:val="0"/>
          <w:numId w:val="4"/>
        </w:numPr>
        <w:rPr>
          <w:sz w:val="24"/>
          <w:szCs w:val="24"/>
        </w:rPr>
      </w:pPr>
      <w:r w:rsidRPr="0045169D">
        <w:rPr>
          <w:sz w:val="24"/>
          <w:szCs w:val="24"/>
        </w:rPr>
        <w:t>Aliran Hukum Dualisme bersumber pada teori bahwa daya ikat hukum internasional bersumberkan pada kemauan negara, dimana jika terjadi benturan antara kedua hukum tersebut maka negara yang menganut aliran ini cenderung mengabaikan hukum internasional.</w:t>
      </w:r>
    </w:p>
    <w:p w:rsidR="005871BF" w:rsidRPr="0045169D" w:rsidRDefault="005871BF" w:rsidP="005871BF">
      <w:pPr>
        <w:pStyle w:val="ListParagraph"/>
        <w:numPr>
          <w:ilvl w:val="0"/>
          <w:numId w:val="1"/>
        </w:numPr>
        <w:rPr>
          <w:sz w:val="24"/>
          <w:szCs w:val="24"/>
        </w:rPr>
      </w:pPr>
      <w:r w:rsidRPr="0045169D">
        <w:rPr>
          <w:sz w:val="24"/>
          <w:szCs w:val="24"/>
        </w:rPr>
        <w:t xml:space="preserve">Contoh kasus peristiwa hukum internasioanal yang melibatkan lembaga penyelesaian sengketa internasional </w:t>
      </w:r>
    </w:p>
    <w:p w:rsidR="005871BF" w:rsidRPr="0045169D" w:rsidRDefault="006C449D" w:rsidP="005871BF">
      <w:pPr>
        <w:pStyle w:val="ListParagraph"/>
        <w:rPr>
          <w:sz w:val="24"/>
          <w:szCs w:val="24"/>
        </w:rPr>
      </w:pPr>
      <w:proofErr w:type="gramStart"/>
      <w:r w:rsidRPr="0045169D">
        <w:rPr>
          <w:sz w:val="24"/>
          <w:szCs w:val="24"/>
        </w:rPr>
        <w:t>Kasus :</w:t>
      </w:r>
      <w:proofErr w:type="gramEnd"/>
      <w:r w:rsidRPr="0045169D">
        <w:rPr>
          <w:sz w:val="24"/>
          <w:szCs w:val="24"/>
        </w:rPr>
        <w:t xml:space="preserve"> Pemerintah Indonesia dan Hesham Al Warraq </w:t>
      </w:r>
    </w:p>
    <w:p w:rsidR="006C449D" w:rsidRPr="0045169D" w:rsidRDefault="006C449D" w:rsidP="005871BF">
      <w:pPr>
        <w:pStyle w:val="ListParagraph"/>
        <w:rPr>
          <w:sz w:val="24"/>
          <w:szCs w:val="24"/>
        </w:rPr>
      </w:pPr>
      <w:r w:rsidRPr="0045169D">
        <w:rPr>
          <w:sz w:val="24"/>
          <w:szCs w:val="24"/>
        </w:rPr>
        <w:t xml:space="preserve">Pada 15 desember 2014, ICSID memenangkan </w:t>
      </w:r>
      <w:proofErr w:type="gramStart"/>
      <w:r w:rsidRPr="0045169D">
        <w:rPr>
          <w:sz w:val="24"/>
          <w:szCs w:val="24"/>
        </w:rPr>
        <w:t>indonesia</w:t>
      </w:r>
      <w:proofErr w:type="gramEnd"/>
      <w:r w:rsidRPr="0045169D">
        <w:rPr>
          <w:sz w:val="24"/>
          <w:szCs w:val="24"/>
        </w:rPr>
        <w:t xml:space="preserve"> terhadap gugatan salah satu pemegang saham bank century Hesham Al Warraq. Hesham yang pernah menjabat wakil komisaris utama bank century menuntut pemerintah karna tindakan ekspropriasi </w:t>
      </w:r>
      <w:bookmarkStart w:id="0" w:name="_GoBack"/>
      <w:bookmarkEnd w:id="0"/>
      <w:r w:rsidRPr="0045169D">
        <w:rPr>
          <w:sz w:val="24"/>
          <w:szCs w:val="24"/>
        </w:rPr>
        <w:t>atas saham dibank tersebut, ia meminta ganti rugi senilai US$ 19</w:t>
      </w:r>
      <w:proofErr w:type="gramStart"/>
      <w:r w:rsidRPr="0045169D">
        <w:rPr>
          <w:sz w:val="24"/>
          <w:szCs w:val="24"/>
        </w:rPr>
        <w:t>,8</w:t>
      </w:r>
      <w:proofErr w:type="gramEnd"/>
      <w:r w:rsidRPr="0045169D">
        <w:rPr>
          <w:sz w:val="24"/>
          <w:szCs w:val="24"/>
        </w:rPr>
        <w:t xml:space="preserve"> juta. Alih – alih memperoleh ganti rugi ICSID justru menolak gugatan Hesham terkait tindakan ekspropriasi, dengan demikian kemenangan tersebut membuat pemerintah </w:t>
      </w:r>
      <w:proofErr w:type="gramStart"/>
      <w:r w:rsidRPr="0045169D">
        <w:rPr>
          <w:sz w:val="24"/>
          <w:szCs w:val="24"/>
        </w:rPr>
        <w:t>indonesia</w:t>
      </w:r>
      <w:proofErr w:type="gramEnd"/>
      <w:r w:rsidRPr="0045169D">
        <w:rPr>
          <w:sz w:val="24"/>
          <w:szCs w:val="24"/>
        </w:rPr>
        <w:t xml:space="preserve"> terhindar dari kewajiban membayar biaaya tersebut. </w:t>
      </w:r>
    </w:p>
    <w:p w:rsidR="005871BF" w:rsidRDefault="005871BF" w:rsidP="005871BF"/>
    <w:sectPr w:rsidR="0058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1AC"/>
    <w:multiLevelType w:val="hybridMultilevel"/>
    <w:tmpl w:val="41D855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359657D"/>
    <w:multiLevelType w:val="hybridMultilevel"/>
    <w:tmpl w:val="587E6B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59A55D3"/>
    <w:multiLevelType w:val="hybridMultilevel"/>
    <w:tmpl w:val="0D68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55E87"/>
    <w:multiLevelType w:val="hybridMultilevel"/>
    <w:tmpl w:val="5C0CA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48"/>
    <w:rsid w:val="000868AF"/>
    <w:rsid w:val="00244FCD"/>
    <w:rsid w:val="003B3948"/>
    <w:rsid w:val="00407580"/>
    <w:rsid w:val="0045169D"/>
    <w:rsid w:val="005871BF"/>
    <w:rsid w:val="006C449D"/>
    <w:rsid w:val="00A01BF4"/>
    <w:rsid w:val="00EE3102"/>
    <w:rsid w:val="00F5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2021-11-15T01:18:00Z</dcterms:created>
  <dcterms:modified xsi:type="dcterms:W3CDTF">2021-11-15T03:05:00Z</dcterms:modified>
</cp:coreProperties>
</file>