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Times New Roman" w:cs="Times New Roman" w:eastAsia="Times New Roman" w:hAnsi="Times New Roman"/>
          <w:sz w:val="24"/>
          <w:szCs w:val="24"/>
        </w:rPr>
        <w:t xml:space="preserve"/>
      </w:r>
    </w:p>
    <w:p>
      <w:pPr>
        <w:tabs>
          <w:tab w:val="left" w:pos="1300"/>
        </w:tabs>
        <w:spacing w:line="300"/>
      </w:pPr>
      <w:r>
        <w:rPr>
          <w:rFonts w:ascii="Times New Roman" w:cs="Times New Roman" w:eastAsia="Times New Roman" w:hAnsi="Times New Roman"/>
          <w:sz w:val="24"/>
          <w:szCs w:val="24"/>
        </w:rPr>
        <w:t xml:space="preserve">Nama	: Pratama Saputra</w:t>
      </w:r>
    </w:p>
    <w:p>
      <w:pPr>
        <w:tabs>
          <w:tab w:val="left" w:pos="1300"/>
        </w:tabs>
        <w:spacing w:line="300"/>
      </w:pPr>
      <w:r>
        <w:rPr>
          <w:rFonts w:ascii="Times New Roman" w:cs="Times New Roman" w:eastAsia="Times New Roman" w:hAnsi="Times New Roman"/>
          <w:sz w:val="24"/>
          <w:szCs w:val="24"/>
        </w:rPr>
        <w:t xml:space="preserve">NPM	: 2513031056</w:t>
      </w:r>
    </w:p>
    <w:p>
      <w:pPr>
        <w:tabs>
          <w:tab w:val="left" w:pos="1300"/>
        </w:tabs>
        <w:spacing w:line="300"/>
      </w:pPr>
      <w:r>
        <w:rPr>
          <w:rFonts w:ascii="Times New Roman" w:cs="Times New Roman" w:eastAsia="Times New Roman" w:hAnsi="Times New Roman"/>
          <w:sz w:val="24"/>
          <w:szCs w:val="24"/>
        </w:rPr>
        <w:t xml:space="preserve">Kelas	: 2025 B</w:t>
      </w:r>
    </w:p>
    <w:p>
      <w:pPr>
        <w:spacing w:after="200" w:before="300" w:line="360"/>
        <w:jc w:val="center"/>
      </w:pPr>
      <w:r>
        <w:rPr>
          <w:rFonts w:ascii="Times New Roman" w:cs="Times New Roman" w:eastAsia="Times New Roman" w:hAnsi="Times New Roman"/>
          <w:b/>
          <w:bCs/>
          <w:sz w:val="24"/>
          <w:szCs w:val="24"/>
        </w:rPr>
        <w:t xml:space="preserve">Analisis Kasus Pembelajaran Ekonomi: Discovery Learning, Inquiry Learning, Problem Based Learning, dan Project Based Learning</w:t>
      </w:r>
    </w:p>
    <w:p>
      <w:pPr>
        <w:keepNext/>
        <w:spacing w:after="100" w:before="200" w:line="360"/>
      </w:pPr>
      <w:r>
        <w:rPr>
          <w:rFonts w:ascii="Times New Roman" w:cs="Times New Roman" w:eastAsia="Times New Roman" w:hAnsi="Times New Roman"/>
          <w:b/>
          <w:bCs/>
          <w:sz w:val="24"/>
          <w:szCs w:val="24"/>
        </w:rPr>
        <w:t xml:space="preserve">1. Identifikasi Model</w:t>
      </w:r>
    </w:p>
    <w:p>
      <w:pPr>
        <w:spacing w:after="120" w:line="360"/>
        <w:jc w:val="both"/>
      </w:pPr>
      <w:r>
        <w:rPr>
          <w:rFonts w:ascii="Times New Roman" w:cs="Times New Roman" w:eastAsia="Times New Roman" w:hAnsi="Times New Roman"/>
          <w:sz w:val="24"/>
          <w:szCs w:val="24"/>
        </w:rPr>
        <w:t xml:space="preserve">Keempat model tampak jelas dalam rangkaian yang disusun Pak Andi, dan masing-masing bisa dikenali dari apa yang dikerjakan siswa. Pada Tahap 1, Pak Andi tidak menjelaskan hubungan harga, permintaan, dan penawaran lebih dulu. Siswa justru diberi tabel data, lalu mengolahnya menjadi grafik dan menyimpulkan polanya sendiri. Inilah ciri Discovery Learning, yakni konsep ditemukan siswa dari data yang mereka amati.</w:t>
      </w:r>
    </w:p>
    <w:p>
      <w:pPr>
        <w:spacing w:after="120" w:line="360"/>
        <w:jc w:val="both"/>
      </w:pPr>
      <w:r>
        <w:rPr>
          <w:rFonts w:ascii="Times New Roman" w:cs="Times New Roman" w:eastAsia="Times New Roman" w:hAnsi="Times New Roman"/>
          <w:sz w:val="24"/>
          <w:szCs w:val="24"/>
        </w:rPr>
        <w:t xml:space="preserve">Tahap 2 adalah Inquiry Learning. Siswa berangkat dari sebuah pertanyaan, yaitu apa penyebab harga cabai naik, lalu mencari jawabannya lewat data pasar, berita ekonomi, dan wawancara dengan pedagang atau konsumen. Informasi yang terkumpul dibandingkan, dan kesimpulan ditarik berdasarkan bukti. Pada Tahap 3, kegiatan bergeser ke Problem Based Learning karena siswa dihadapkan pada masalah nyata yang belum punya jawaban tunggal: bagaimana dampak kenaikan harga bagi konsumen, pedagang, dan produsen, serta solusi apa yang mungkin ditempuh. Mereka bekerja dalam kelompok untuk menganalisis dan merumuskan alternatif solusi. Terakhir, Tahap 4 merupakan Project Based Learning, sebab kelompok diminta menghasilkan karya nyata berupa infografis, video, poster digital, podcast, atau kampanye media sosial, kemudian mempresentasikannya dan menerima umpan balik dari kelompok lain.</w:t>
      </w:r>
    </w:p>
    <w:p>
      <w:pPr>
        <w:keepNext/>
        <w:spacing w:after="100" w:before="200" w:line="360"/>
      </w:pPr>
      <w:r>
        <w:rPr>
          <w:rFonts w:ascii="Times New Roman" w:cs="Times New Roman" w:eastAsia="Times New Roman" w:hAnsi="Times New Roman"/>
          <w:b/>
          <w:bCs/>
          <w:sz w:val="24"/>
          <w:szCs w:val="24"/>
        </w:rPr>
        <w:t xml:space="preserve">2. Analisis Perbedaan</w:t>
      </w:r>
    </w:p>
    <w:p>
      <w:pPr>
        <w:spacing w:after="120" w:line="360"/>
        <w:jc w:val="both"/>
      </w:pPr>
      <w:r>
        <w:rPr>
          <w:rFonts w:ascii="Times New Roman" w:cs="Times New Roman" w:eastAsia="Times New Roman" w:hAnsi="Times New Roman"/>
          <w:sz w:val="24"/>
          <w:szCs w:val="24"/>
        </w:rPr>
        <w:t xml:space="preserve">Perbedaan keempat model terletak pada apa yang menjadi pusat kegiatan siswa. Dalam Discovery Learning, yang ditemukan siswa adalah pola atau konsep: semakin tinggi harga, jumlah yang diminta cenderung turun, sedangkan jumlah yang ditawarkan cenderung naik. Kegiatannya berhenti pada kesimpulan tentang hubungan antarvariabel.</w:t>
      </w:r>
    </w:p>
    <w:p>
      <w:pPr>
        <w:spacing w:after="120" w:line="360"/>
        <w:jc w:val="both"/>
      </w:pPr>
      <w:r>
        <w:rPr>
          <w:rFonts w:ascii="Times New Roman" w:cs="Times New Roman" w:eastAsia="Times New Roman" w:hAnsi="Times New Roman"/>
          <w:sz w:val="24"/>
          <w:szCs w:val="24"/>
        </w:rPr>
        <w:t xml:space="preserve">Dalam Inquiry Learning, yang diselidiki adalah penyebab di balik pola tersebut, misalnya faktor cuaca, gagal panen, biaya distribusi, atau lonjakan permintaan. Siswa harus merumuskan pertanyaan, mencari data, dan menguji jawabannya dengan bukti. Dalam Problem Based Learning, yang dipecahkan adalah masalah nyata yang muncul akibat fenomena itu, yaitu dampak kenaikan harga bagi berbagai pelaku ekonomi dan pilihan solusinya. Fokusnya bukan lagi mencari tahu mengapa, melainkan memutuskan apa yang sebaiknya dilakukan. Adapun pada Project Based Learning, yang dihasilkan adalah produk, dalam kasus ini media edukasi bertema “Bijak Menghadapi Perubahan Harga” yang dapat dinikmati orang lain. Pemahaman siswa diwujudkan menjadi karya, bukan hanya jawaban di lembar kerja.</w:t>
      </w:r>
    </w:p>
    <w:p>
      <w:pPr>
        <w:keepNext/>
        <w:spacing w:after="100" w:before="200" w:line="360"/>
      </w:pPr>
      <w:r>
        <w:rPr>
          <w:rFonts w:ascii="Times New Roman" w:cs="Times New Roman" w:eastAsia="Times New Roman" w:hAnsi="Times New Roman"/>
          <w:b/>
          <w:bCs/>
          <w:sz w:val="24"/>
          <w:szCs w:val="24"/>
        </w:rPr>
        <w:t xml:space="preserve">3. Analisis Ketepatan Model</w:t>
      </w:r>
    </w:p>
    <w:p>
      <w:pPr>
        <w:spacing w:after="120" w:line="360"/>
        <w:jc w:val="both"/>
      </w:pPr>
      <w:r>
        <w:rPr>
          <w:rFonts w:ascii="Times New Roman" w:cs="Times New Roman" w:eastAsia="Times New Roman" w:hAnsi="Times New Roman"/>
          <w:sz w:val="24"/>
          <w:szCs w:val="24"/>
        </w:rPr>
        <w:t xml:space="preserve">Saya setuju dengan penggunaan keempat model tersebut, dengan satu catatan soal pengelolaan waktu. Dari sisi tujuan, masalah utama kelas Pak Andi bukan pada hafalan definisi, melainkan pada kemampuan menganalisis fenomena ekonomi. Urutan yang ia rancang bergerak dari mengamati data, menyelidiki sebab, menimbang dampak dan solusi, sampai membuat karya. Alurnya sejalan dengan tuntutan berpikir yang makin tinggi, dan tiap tahap memberi latihan yang memang dibutuhkan siswa.</w:t>
      </w:r>
    </w:p>
    <w:p>
      <w:pPr>
        <w:spacing w:after="120" w:line="360"/>
        <w:jc w:val="both"/>
      </w:pPr>
      <w:r>
        <w:rPr>
          <w:rFonts w:ascii="Times New Roman" w:cs="Times New Roman" w:eastAsia="Times New Roman" w:hAnsi="Times New Roman"/>
          <w:sz w:val="24"/>
          <w:szCs w:val="24"/>
        </w:rPr>
        <w:t xml:space="preserve">Dari sisi materi, permintaan, penawaran, dan harga pasar adalah konsep yang berbasis data dan hubungan sebab-akibat, sehingga cocok dipelajari lewat fenomena nyata seperti harga cabai. Dari sisi peserta didik, siswa kelas XI sudah menguasai pengertian dasar dan perhitungan sederhana, jadi mereka siap dibawa ke kegiatan yang lebih menantang daripada ceramah dan latihan soal. Penelitian terdahulu juga menunjukkan bahwa pilihan model berpengaruh terhadap hasil belajar. Suaib dkk. (2022) menemukan adanya perbedaan hasil belajar antara kelas PBL dan Discovery Learning, dan Fadhlika dkk. (2023) membandingkan keduanya dalam kaitannya dengan kemampuan berpikir tingkat tinggi. Untuk model berbasis proyek, Antula dkk. (2023) melaporkan peningkatan hasil belajar pada mata pelajaran ekonomi, sedangkan Farahdilla dkk. (2023) melaporkan meningkatnya keaktifan siswa.</w:t>
      </w:r>
    </w:p>
    <w:p>
      <w:pPr>
        <w:spacing w:after="120" w:line="360"/>
        <w:jc w:val="both"/>
      </w:pPr>
      <w:r>
        <w:rPr>
          <w:rFonts w:ascii="Times New Roman" w:cs="Times New Roman" w:eastAsia="Times New Roman" w:hAnsi="Times New Roman"/>
          <w:sz w:val="24"/>
          <w:szCs w:val="24"/>
        </w:rPr>
        <w:t xml:space="preserve">Meski begitu, menjalankan empat model sekaligus untuk satu materi berisiko memakan waktu terlalu lama. Tahap 2 dan Tahap 3 juga saling bersinggungan karena sama-sama menuntut siswa menganalisis penyebab dan dampak. Karena itu rangkaian ini tepat secara konsep, tetapi perlu dipadatkan agar bisa terlaksana dalam jam pelajaran yang tersedia.</w:t>
      </w:r>
    </w:p>
    <w:p>
      <w:pPr>
        <w:keepNext/>
        <w:spacing w:after="100" w:before="200" w:line="360"/>
      </w:pPr>
      <w:r>
        <w:rPr>
          <w:rFonts w:ascii="Times New Roman" w:cs="Times New Roman" w:eastAsia="Times New Roman" w:hAnsi="Times New Roman"/>
          <w:b/>
          <w:bCs/>
          <w:sz w:val="24"/>
          <w:szCs w:val="24"/>
        </w:rPr>
        <w:t xml:space="preserve">4. Pengembangan Pembelajaran</w:t>
      </w:r>
    </w:p>
    <w:p>
      <w:pPr>
        <w:spacing w:after="120" w:line="360"/>
        <w:jc w:val="both"/>
      </w:pPr>
      <w:r>
        <w:rPr>
          <w:rFonts w:ascii="Times New Roman" w:cs="Times New Roman" w:eastAsia="Times New Roman" w:hAnsi="Times New Roman"/>
          <w:sz w:val="24"/>
          <w:szCs w:val="24"/>
        </w:rPr>
        <w:t xml:space="preserve">Jika saya menjadi guru ekonomi, saya tidak akan memakai rancangan yang sama persis. Saya memilih Problem Based Learning sebagai model utama, dengan kegiatan menemukan pola dan menyelidiki sebab ditempatkan sebagai bagian dari proses memecahkan masalah, serta produk akhir dibuat sederhana. Alasannya, PBL paling langsung melatih kemampuan yang menjadi kelemahan siswa, yaitu menganalisis fenomena ekonomi, dan lebih mudah dikelola dalam waktu terbatas. Langkah pembelajarannya kurang lebih sebagai berikut.</w:t>
      </w:r>
    </w:p>
    <w:p>
      <w:pPr>
        <w:pStyle w:val="ListParagraph"/>
        <w:numPr>
          <w:ilvl w:val="0"/>
          <w:numId w:val="2"/>
        </w:numPr>
        <w:spacing w:after="60" w:line="360"/>
        <w:jc w:val="both"/>
      </w:pPr>
      <w:r>
        <w:rPr>
          <w:rFonts w:ascii="Times New Roman" w:cs="Times New Roman" w:eastAsia="Times New Roman" w:hAnsi="Times New Roman"/>
          <w:sz w:val="24"/>
          <w:szCs w:val="24"/>
        </w:rPr>
        <w:t xml:space="preserve">Orientasi masalah: guru menampilkan data kenaikan harga cabai dan mengajukan pertanyaan pemantik tentang siapa yang paling terdampak.</w:t>
      </w:r>
    </w:p>
    <w:p>
      <w:pPr>
        <w:pStyle w:val="ListParagraph"/>
        <w:numPr>
          <w:ilvl w:val="0"/>
          <w:numId w:val="2"/>
        </w:numPr>
        <w:spacing w:after="60" w:line="360"/>
        <w:jc w:val="both"/>
      </w:pPr>
      <w:r>
        <w:rPr>
          <w:rFonts w:ascii="Times New Roman" w:cs="Times New Roman" w:eastAsia="Times New Roman" w:hAnsi="Times New Roman"/>
          <w:sz w:val="24"/>
          <w:szCs w:val="24"/>
        </w:rPr>
        <w:t xml:space="preserve">Pengamatan data: siswa membaca tabel harga dan jumlah, membuat grafik, lalu menuliskan pola yang mereka lihat.</w:t>
      </w:r>
    </w:p>
    <w:p>
      <w:pPr>
        <w:pStyle w:val="ListParagraph"/>
        <w:numPr>
          <w:ilvl w:val="0"/>
          <w:numId w:val="2"/>
        </w:numPr>
        <w:spacing w:after="60" w:line="360"/>
        <w:jc w:val="both"/>
      </w:pPr>
      <w:r>
        <w:rPr>
          <w:rFonts w:ascii="Times New Roman" w:cs="Times New Roman" w:eastAsia="Times New Roman" w:hAnsi="Times New Roman"/>
          <w:sz w:val="24"/>
          <w:szCs w:val="24"/>
        </w:rPr>
        <w:t xml:space="preserve">Penyelidikan kelompok: siswa mencari penyebab kenaikan harga melalui data pasar, berita, atau wawancara singkat.</w:t>
      </w:r>
    </w:p>
    <w:p>
      <w:pPr>
        <w:pStyle w:val="ListParagraph"/>
        <w:numPr>
          <w:ilvl w:val="0"/>
          <w:numId w:val="2"/>
        </w:numPr>
        <w:spacing w:after="60" w:line="360"/>
        <w:jc w:val="both"/>
      </w:pPr>
      <w:r>
        <w:rPr>
          <w:rFonts w:ascii="Times New Roman" w:cs="Times New Roman" w:eastAsia="Times New Roman" w:hAnsi="Times New Roman"/>
          <w:sz w:val="24"/>
          <w:szCs w:val="24"/>
        </w:rPr>
        <w:t xml:space="preserve">Analisis dan solusi: kelompok menyusun dampak bagi konsumen, pedagang, dan produsen, kemudian merumuskan alternatif solusi.</w:t>
      </w:r>
    </w:p>
    <w:p>
      <w:pPr>
        <w:pStyle w:val="ListParagraph"/>
        <w:numPr>
          <w:ilvl w:val="0"/>
          <w:numId w:val="2"/>
        </w:numPr>
        <w:spacing w:after="60" w:line="360"/>
        <w:jc w:val="both"/>
      </w:pPr>
      <w:r>
        <w:rPr>
          <w:rFonts w:ascii="Times New Roman" w:cs="Times New Roman" w:eastAsia="Times New Roman" w:hAnsi="Times New Roman"/>
          <w:sz w:val="24"/>
          <w:szCs w:val="24"/>
        </w:rPr>
        <w:t xml:space="preserve">Produk dan presentasi: setiap kelompok membuat satu produk ringkas, misalnya infografis, lalu mempresentasikannya.</w:t>
      </w:r>
    </w:p>
    <w:p>
      <w:pPr>
        <w:pStyle w:val="ListParagraph"/>
        <w:numPr>
          <w:ilvl w:val="0"/>
          <w:numId w:val="2"/>
        </w:numPr>
        <w:spacing w:after="60" w:line="360"/>
        <w:jc w:val="both"/>
      </w:pPr>
      <w:r>
        <w:rPr>
          <w:rFonts w:ascii="Times New Roman" w:cs="Times New Roman" w:eastAsia="Times New Roman" w:hAnsi="Times New Roman"/>
          <w:sz w:val="24"/>
          <w:szCs w:val="24"/>
        </w:rPr>
        <w:t xml:space="preserve">Refleksi dan penguatan: guru merangkum konsep permintaan, penawaran, dan harga keseimbangan, sekaligus meluruskan kekeliruan.</w:t>
      </w:r>
    </w:p>
    <w:p>
      <w:pPr>
        <w:keepNext/>
        <w:spacing w:after="100" w:before="200" w:line="360"/>
      </w:pPr>
      <w:r>
        <w:rPr>
          <w:rFonts w:ascii="Times New Roman" w:cs="Times New Roman" w:eastAsia="Times New Roman" w:hAnsi="Times New Roman"/>
          <w:b/>
          <w:bCs/>
          <w:sz w:val="24"/>
          <w:szCs w:val="24"/>
        </w:rPr>
        <w:t xml:space="preserve">5. Asesmen</w:t>
      </w:r>
    </w:p>
    <w:p>
      <w:pPr>
        <w:spacing w:after="120" w:line="360"/>
        <w:jc w:val="both"/>
      </w:pPr>
      <w:r>
        <w:rPr>
          <w:rFonts w:ascii="Times New Roman" w:cs="Times New Roman" w:eastAsia="Times New Roman" w:hAnsi="Times New Roman"/>
          <w:sz w:val="24"/>
          <w:szCs w:val="24"/>
        </w:rPr>
        <w:t xml:space="preserve">Karena tujuan yang diukur beragam, asesmen sebaiknya tidak bertumpu pada satu tes saja. Pemahaman konsep bisa diukur lewat tes tertulis, sedangkan kemampuan yang lebih kompleks membutuhkan penilaian proses dan hasil kerja yang dinilai dengan rubrik. Rancangan yang saya usulkan tampak pada tabel berikut.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00"/>
        <w:gridCol w:w="3300"/>
        <w:gridCol w:w="3626"/>
      </w:tblGrid>
      <w:tr>
        <w:trPr>
          <w:cantSplit/>
          <w:tblHeader/>
        </w:trPr>
        <w:tc>
          <w:tcPr>
            <w:tcW w:type="dxa" w:w="2100"/>
            <w:tcBorders>
              <w:top w:val="single" w:color="000000" w:sz="4"/>
              <w:left w:val="single" w:color="000000" w:sz="4"/>
              <w:bottom w:val="single" w:color="000000" w:sz="4"/>
              <w:right w:val="single" w:color="000000" w:sz="4"/>
            </w:tcBorders>
            <w:shd w:fill="E7E7E7" w:color="auto" w:val="clear"/>
            <w:tcMar>
              <w:top w:type="dxa" w:w="60"/>
              <w:left w:type="dxa" w:w="100"/>
              <w:bottom w:type="dxa" w:w="60"/>
              <w:right w:type="dxa" w:w="100"/>
            </w:tcMar>
          </w:tcPr>
          <w:p>
            <w:pPr>
              <w:spacing w:line="276"/>
            </w:pPr>
            <w:r>
              <w:rPr>
                <w:rFonts w:ascii="Times New Roman" w:cs="Times New Roman" w:eastAsia="Times New Roman" w:hAnsi="Times New Roman"/>
                <w:b/>
                <w:bCs/>
                <w:sz w:val="22"/>
                <w:szCs w:val="22"/>
              </w:rPr>
              <w:t xml:space="preserve">Yang diukur</w:t>
            </w:r>
          </w:p>
        </w:tc>
        <w:tc>
          <w:tcPr>
            <w:tcW w:type="dxa" w:w="3300"/>
            <w:tcBorders>
              <w:top w:val="single" w:color="000000" w:sz="4"/>
              <w:left w:val="single" w:color="000000" w:sz="4"/>
              <w:bottom w:val="single" w:color="000000" w:sz="4"/>
              <w:right w:val="single" w:color="000000" w:sz="4"/>
            </w:tcBorders>
            <w:shd w:fill="E7E7E7" w:color="auto" w:val="clear"/>
            <w:tcMar>
              <w:top w:type="dxa" w:w="60"/>
              <w:left w:type="dxa" w:w="100"/>
              <w:bottom w:type="dxa" w:w="60"/>
              <w:right w:type="dxa" w:w="100"/>
            </w:tcMar>
          </w:tcPr>
          <w:p>
            <w:pPr>
              <w:spacing w:line="276"/>
            </w:pPr>
            <w:r>
              <w:rPr>
                <w:rFonts w:ascii="Times New Roman" w:cs="Times New Roman" w:eastAsia="Times New Roman" w:hAnsi="Times New Roman"/>
                <w:b/>
                <w:bCs/>
                <w:sz w:val="22"/>
                <w:szCs w:val="22"/>
              </w:rPr>
              <w:t xml:space="preserve">Bentuk asesmen</w:t>
            </w:r>
          </w:p>
        </w:tc>
        <w:tc>
          <w:tcPr>
            <w:tcW w:type="dxa" w:w="3626"/>
            <w:tcBorders>
              <w:top w:val="single" w:color="000000" w:sz="4"/>
              <w:left w:val="single" w:color="000000" w:sz="4"/>
              <w:bottom w:val="single" w:color="000000" w:sz="4"/>
              <w:right w:val="single" w:color="000000" w:sz="4"/>
            </w:tcBorders>
            <w:shd w:fill="E7E7E7" w:color="auto" w:val="clear"/>
            <w:tcMar>
              <w:top w:type="dxa" w:w="60"/>
              <w:left w:type="dxa" w:w="100"/>
              <w:bottom w:type="dxa" w:w="60"/>
              <w:right w:type="dxa" w:w="100"/>
            </w:tcMar>
          </w:tcPr>
          <w:p>
            <w:pPr>
              <w:spacing w:line="276"/>
            </w:pPr>
            <w:r>
              <w:rPr>
                <w:rFonts w:ascii="Times New Roman" w:cs="Times New Roman" w:eastAsia="Times New Roman" w:hAnsi="Times New Roman"/>
                <w:b/>
                <w:bCs/>
                <w:sz w:val="22"/>
                <w:szCs w:val="22"/>
              </w:rPr>
              <w:t xml:space="preserve">Indikator penilaian</w:t>
            </w:r>
          </w:p>
        </w:tc>
      </w:tr>
      <w:tr>
        <w:trPr>
          <w:cantSplit/>
          <w:tblHeader w:val="false"/>
        </w:trPr>
        <w:tc>
          <w:tcPr>
            <w:tcW w:type="dxa" w:w="2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Pemahaman konsep</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Tes tertulis singkat (pilihan ganda beralasan dan uraian)</w:t>
            </w:r>
          </w:p>
        </w:tc>
        <w:tc>
          <w:tcPr>
            <w:tcW w:type="dxa" w:w="36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Ketepatan menjelaskan hukum permintaan, hukum penawaran, dan proses terbentuknya harga keseimbangan</w:t>
            </w:r>
          </w:p>
        </w:tc>
      </w:tr>
      <w:tr>
        <w:trPr>
          <w:cantSplit/>
          <w:tblHeader w:val="false"/>
        </w:trPr>
        <w:tc>
          <w:tcPr>
            <w:tcW w:type="dxa" w:w="2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Kemampuan menganalisis</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Soal uraian berbasis data atau kasus baru</w:t>
            </w:r>
          </w:p>
        </w:tc>
        <w:tc>
          <w:tcPr>
            <w:tcW w:type="dxa" w:w="36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Mampu membaca tabel atau grafik, menghubungkan perubahan harga dengan pergeseran permintaan atau penawaran</w:t>
            </w:r>
          </w:p>
        </w:tc>
      </w:tr>
      <w:tr>
        <w:trPr>
          <w:cantSplit/>
          <w:tblHeader w:val="false"/>
        </w:trPr>
        <w:tc>
          <w:tcPr>
            <w:tcW w:type="dxa" w:w="2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Kemampuan menyelidiki</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Lembar observasi dan catatan penyelidikan kelompok</w:t>
            </w:r>
          </w:p>
        </w:tc>
        <w:tc>
          <w:tcPr>
            <w:tcW w:type="dxa" w:w="36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Kejelasan pertanyaan, keragaman dan kelayakan sumber data, serta kesimpulan yang didukung bukti</w:t>
            </w:r>
          </w:p>
        </w:tc>
      </w:tr>
      <w:tr>
        <w:trPr>
          <w:cantSplit/>
          <w:tblHeader w:val="false"/>
        </w:trPr>
        <w:tc>
          <w:tcPr>
            <w:tcW w:type="dxa" w:w="2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Kemampuan memecahkan masalah</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Rubrik laporan analisis dan penampilan saat diskusi</w:t>
            </w:r>
          </w:p>
        </w:tc>
        <w:tc>
          <w:tcPr>
            <w:tcW w:type="dxa" w:w="36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Ketajaman mengidentifikasi dampak, kelayakan alternatif solusi, dan kekuatan alasan yang diberikan</w:t>
            </w:r>
          </w:p>
        </w:tc>
      </w:tr>
      <w:tr>
        <w:trPr>
          <w:cantSplit/>
          <w:tblHeader w:val="false"/>
        </w:trPr>
        <w:tc>
          <w:tcPr>
            <w:tcW w:type="dxa" w:w="2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Kualitas produk</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Rubrik produk, presentasi, dan penilaian sejawat</w:t>
            </w:r>
          </w:p>
        </w:tc>
        <w:tc>
          <w:tcPr>
            <w:tcW w:type="dxa" w:w="36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line="276"/>
            </w:pPr>
            <w:r>
              <w:rPr>
                <w:rFonts w:ascii="Times New Roman" w:cs="Times New Roman" w:eastAsia="Times New Roman" w:hAnsi="Times New Roman"/>
                <w:b w:val="false"/>
                <w:bCs w:val="false"/>
                <w:sz w:val="22"/>
                <w:szCs w:val="22"/>
              </w:rPr>
              <w:t xml:space="preserve">Ketepatan isi ekonomi, kreativitas, kejelasan visual, komunikasi, dan kerja sama kelompok</w:t>
            </w:r>
          </w:p>
        </w:tc>
      </w:tr>
    </w:tbl>
    <w:p>
      <w:pPr>
        <w:spacing w:after="12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Penilaian dilakukan selama proses maupun di akhir pembelajaran. Rubrik dibagikan sejak awal agar siswa tahu ukuran keberhasilan yang diharapkan, dan penilaian sejawat dipakai untuk melatih siswa memberi masukan yang berdasar.</w:t>
      </w:r>
    </w:p>
    <w:p>
      <w:pPr>
        <w:keepNext/>
        <w:spacing w:after="100" w:before="200" w:line="360"/>
      </w:pPr>
      <w:r>
        <w:rPr>
          <w:rFonts w:ascii="Times New Roman" w:cs="Times New Roman" w:eastAsia="Times New Roman" w:hAnsi="Times New Roman"/>
          <w:b/>
          <w:bCs/>
          <w:sz w:val="24"/>
          <w:szCs w:val="24"/>
        </w:rPr>
        <w:t xml:space="preserve">Daftar Pustaka</w:t>
      </w:r>
    </w:p>
    <w:p>
      <w:pPr>
        <w:spacing w:after="100" w:line="360"/>
        <w:ind w:left="720" w:hanging="720"/>
        <w:jc w:val="both"/>
      </w:pPr>
      <w:r>
        <w:rPr>
          <w:rFonts w:ascii="Times New Roman" w:cs="Times New Roman" w:eastAsia="Times New Roman" w:hAnsi="Times New Roman"/>
          <w:sz w:val="24"/>
          <w:szCs w:val="24"/>
        </w:rPr>
        <w:t xml:space="preserve">Antula, H., Londa, M., &amp; Gerungan, C. (2023). Pembelajaran yang inovatif project based learning dalam meningkatkan hasil belajar siswa pada mata pelajaran ekonomi SMA Negeri 8 Gorontalo Utara. Literacy: Jurnal Pendidikan Ekonomi, 4(2s), 133–142.</w:t>
      </w:r>
    </w:p>
    <w:p>
      <w:pPr>
        <w:spacing w:after="100" w:line="360"/>
        <w:ind w:left="720" w:hanging="720"/>
        <w:jc w:val="both"/>
      </w:pPr>
      <w:r>
        <w:rPr>
          <w:rFonts w:ascii="Times New Roman" w:cs="Times New Roman" w:eastAsia="Times New Roman" w:hAnsi="Times New Roman"/>
          <w:sz w:val="24"/>
          <w:szCs w:val="24"/>
        </w:rPr>
        <w:t xml:space="preserve">Fadhlika, N. A., Wijoyo, S. H., &amp; Herlambang, A. D. (2023). Perbedaan model pembelajaran problem based learning dan discovery learning terhadap hasil belajar siswa pada mata pelajaran dasar desain grafis (studi kasus: SMK Queen Al-Falah Kabupaten Kediri). Jurnal Pengembangan Teknologi Informasi dan Ilmu Komputer, 7(6), 3001–3008.</w:t>
      </w:r>
    </w:p>
    <w:p>
      <w:pPr>
        <w:spacing w:after="100" w:line="360"/>
        <w:ind w:left="720" w:hanging="720"/>
        <w:jc w:val="both"/>
      </w:pPr>
      <w:r>
        <w:rPr>
          <w:rFonts w:ascii="Times New Roman" w:cs="Times New Roman" w:eastAsia="Times New Roman" w:hAnsi="Times New Roman"/>
          <w:sz w:val="24"/>
          <w:szCs w:val="24"/>
        </w:rPr>
        <w:t xml:space="preserve">Farahdilla, N., Prakoso, A., &amp; Fahimah, N. (2023). Penerapan model pembelajaran project-based learning (PjBL) untuk meningkatkan keaktifan peserta didik pada mata pelajaran ekonomi. Jurnal Dedikasi Pendidikan, 7(2), 611–620.</w:t>
      </w:r>
    </w:p>
    <w:p>
      <w:pPr>
        <w:spacing w:after="100" w:line="360"/>
        <w:ind w:left="720" w:hanging="720"/>
        <w:jc w:val="both"/>
      </w:pPr>
      <w:r>
        <w:rPr>
          <w:rFonts w:ascii="Times New Roman" w:cs="Times New Roman" w:eastAsia="Times New Roman" w:hAnsi="Times New Roman"/>
          <w:sz w:val="24"/>
          <w:szCs w:val="24"/>
        </w:rPr>
        <w:t xml:space="preserve">Suaib, N., Paputungan, M., Iyabu, H., Isa, I., Mohamad, E., &amp; Kunusa, W. R. (2022). Perbedaan model pembelajaran problem based learning dan discovery learning pada materi hukum dasar kimia terhadap hasil belajar siswa di SMAN 1 Suwawa. Dalton: Jurnal Pendidikan Kimia dan Ilmu Kimia, 5(2), 55–61. https://doi.org/10.31602/dl.v5i2.7875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rPr>
        <w:rFonts w:ascii="Times New Roman" w:cs="Times New Roman" w:eastAsia="Times New Roman" w:hAnsi="Times New Roman"/>
        <w:sz w:val="24"/>
        <w:szCs w:val="2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2026-09-24T11:18:55.018Z</dcterms:created>
  <dcterms:modified xsi:type="dcterms:W3CDTF">2026-09-24T11:18:55.027Z</dcterms:modified>
</cp:coreProperties>
</file>

<file path=docProps/custom.xml><?xml version="1.0" encoding="utf-8"?>
<Properties xmlns="http://schemas.openxmlformats.org/officeDocument/2006/custom-properties" xmlns:vt="http://schemas.openxmlformats.org/officeDocument/2006/docPropsVTypes"/>
</file>