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A245" w14:textId="10171413" w:rsidR="00B74399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Al-Quran, As-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sunnah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/al-Hadis,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Ijtihad</w:t>
      </w:r>
    </w:p>
    <w:p w14:paraId="6069D1E0" w14:textId="56A56853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A00BD9" w14:textId="41D70CBA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MAKALAH</w:t>
      </w:r>
    </w:p>
    <w:p w14:paraId="72100EBD" w14:textId="6830A9C9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Diajukan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untuk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memenuhi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tugas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perkuliahan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Pendidikan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Agama Islam yang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dibina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oleh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Muhisom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M.Pd.I</w:t>
      </w:r>
      <w:proofErr w:type="spellEnd"/>
    </w:p>
    <w:p w14:paraId="6093405F" w14:textId="0C196364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506B5DD" w14:textId="2DEE75C3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1C4379DF" wp14:editId="560D3EB0">
            <wp:extent cx="2156460" cy="2125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88957" w14:textId="4EEBC8D5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846400" w14:textId="3982F679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KELOMPOK 3:</w:t>
      </w:r>
    </w:p>
    <w:p w14:paraId="70365A3E" w14:textId="6E41E837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ANI ADHA MUTAWALIA (2513043001)</w:t>
      </w:r>
    </w:p>
    <w:p w14:paraId="71766E0E" w14:textId="35B31AAC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HALIZA DANIA (2513043015)</w:t>
      </w:r>
    </w:p>
    <w:p w14:paraId="3312FEC5" w14:textId="437BB118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M. DAFFA FERDINANDO (2513043049)</w:t>
      </w:r>
    </w:p>
    <w:p w14:paraId="7B45ACF9" w14:textId="3B09C2B2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7EF26C" w14:textId="2126BEDA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6746BB7" w14:textId="2ABA480C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PROGRAM STUDI PENDIDIKAN TARI</w:t>
      </w:r>
    </w:p>
    <w:p w14:paraId="5B184B75" w14:textId="29DD9997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JURUSAN BAHASA DAN SENI</w:t>
      </w:r>
    </w:p>
    <w:p w14:paraId="3559FCBD" w14:textId="476AB506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FAKULTAS KEGURUAN DAN ILMU PENDIDIKAN</w:t>
      </w:r>
    </w:p>
    <w:p w14:paraId="63AF77A7" w14:textId="1BA34CC6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UNIVERSITAS LAMPUNG</w:t>
      </w:r>
    </w:p>
    <w:p w14:paraId="62C5152E" w14:textId="600475A0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BANDAR LAMPUNG</w:t>
      </w:r>
    </w:p>
    <w:p w14:paraId="262169CC" w14:textId="6AE480E9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CD080CB" w14:textId="65011951" w:rsidR="00CB3243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p w14:paraId="76352C69" w14:textId="2DB6C9D3" w:rsidR="00CB3243" w:rsidRDefault="00CB3243" w:rsidP="00CB324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KATA PENGANTAR</w:t>
      </w:r>
    </w:p>
    <w:p w14:paraId="58697FF6" w14:textId="625EF82D" w:rsidR="00CB3243" w:rsidRDefault="00CB3243" w:rsidP="00CB324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DF775C1" w14:textId="5D2BD096" w:rsidR="00CB3243" w:rsidRPr="00CB3243" w:rsidRDefault="00CB3243" w:rsidP="00CB3243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Tiada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kalimat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8"/>
          <w:szCs w:val="28"/>
        </w:rPr>
        <w:t>pantas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ucapkan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selain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rasa </w:t>
      </w:r>
      <w:proofErr w:type="spellStart"/>
      <w:r>
        <w:rPr>
          <w:rFonts w:asciiTheme="majorBidi" w:hAnsiTheme="majorBidi" w:cstheme="majorBidi"/>
          <w:sz w:val="28"/>
          <w:szCs w:val="28"/>
        </w:rPr>
        <w:t>syukur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kepada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Tuhan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8"/>
          <w:szCs w:val="28"/>
        </w:rPr>
        <w:t>Maha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Esa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8"/>
          <w:szCs w:val="28"/>
        </w:rPr>
        <w:t>telah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melimpahkan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rahmat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hidayah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-Nya </w:t>
      </w:r>
      <w:proofErr w:type="spellStart"/>
      <w:r>
        <w:rPr>
          <w:rFonts w:asciiTheme="majorBidi" w:hAnsiTheme="majorBidi" w:cstheme="majorBidi"/>
          <w:sz w:val="28"/>
          <w:szCs w:val="28"/>
        </w:rPr>
        <w:t>sehingga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dapat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menyelesaikan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diskusi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8"/>
          <w:szCs w:val="28"/>
        </w:rPr>
        <w:t>berjudul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</w:t>
      </w:r>
      <w:r w:rsidRPr="00CB3243">
        <w:rPr>
          <w:rFonts w:asciiTheme="majorBidi" w:hAnsiTheme="majorBidi" w:cstheme="majorBidi"/>
          <w:sz w:val="28"/>
          <w:szCs w:val="28"/>
        </w:rPr>
        <w:t>Al-Quran, As-</w:t>
      </w:r>
      <w:proofErr w:type="spellStart"/>
      <w:r w:rsidRPr="00CB3243">
        <w:rPr>
          <w:rFonts w:asciiTheme="majorBidi" w:hAnsiTheme="majorBidi" w:cstheme="majorBidi"/>
          <w:sz w:val="28"/>
          <w:szCs w:val="28"/>
        </w:rPr>
        <w:t>sunnah</w:t>
      </w:r>
      <w:proofErr w:type="spellEnd"/>
      <w:r w:rsidRPr="00CB3243">
        <w:rPr>
          <w:rFonts w:asciiTheme="majorBidi" w:hAnsiTheme="majorBidi" w:cstheme="majorBidi"/>
          <w:sz w:val="28"/>
          <w:szCs w:val="28"/>
        </w:rPr>
        <w:t xml:space="preserve">/al-Hadis, </w:t>
      </w:r>
      <w:proofErr w:type="spellStart"/>
      <w:r w:rsidRPr="00CB3243">
        <w:rPr>
          <w:rFonts w:asciiTheme="majorBidi" w:hAnsiTheme="majorBidi" w:cstheme="majorBidi"/>
          <w:sz w:val="28"/>
          <w:szCs w:val="28"/>
        </w:rPr>
        <w:t>dan</w:t>
      </w:r>
      <w:proofErr w:type="spellEnd"/>
      <w:r w:rsidRPr="00CB3243">
        <w:rPr>
          <w:rFonts w:asciiTheme="majorBidi" w:hAnsiTheme="majorBidi" w:cstheme="majorBidi"/>
          <w:sz w:val="28"/>
          <w:szCs w:val="28"/>
        </w:rPr>
        <w:t xml:space="preserve"> Ijtihad</w:t>
      </w:r>
      <w:r>
        <w:rPr>
          <w:rFonts w:asciiTheme="majorBidi" w:hAnsiTheme="majorBidi" w:cstheme="majorBidi"/>
          <w:sz w:val="28"/>
          <w:szCs w:val="28"/>
        </w:rPr>
        <w:t>”</w:t>
      </w:r>
    </w:p>
    <w:p w14:paraId="596D37D1" w14:textId="77777777" w:rsidR="00CB3243" w:rsidRPr="00C260D2" w:rsidRDefault="00CB3243" w:rsidP="00CB3243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Tidak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lupa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juga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mengucapkan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terimakasih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kepada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semua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pihak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yang </w:t>
      </w:r>
      <w:proofErr w:type="spellStart"/>
      <w:r>
        <w:rPr>
          <w:rFonts w:asciiTheme="majorBidi" w:hAnsiTheme="majorBidi" w:cstheme="majorBidi"/>
          <w:sz w:val="28"/>
          <w:szCs w:val="28"/>
        </w:rPr>
        <w:t>telah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turut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memberikan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kontribusi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dalam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penyusunan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Tentunya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tidak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bisa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maksimal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jika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tidak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mendapat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dukungan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berbagai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pihak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4E032A70" w14:textId="77777777" w:rsidR="00CB3243" w:rsidRDefault="00CB3243" w:rsidP="00CB3243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Bagi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sebagai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penyusun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menyadari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bahwa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masih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terdapat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kekurangan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baik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penyusunan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maupun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bahasa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penyampaian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dalam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karena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keterbatasan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pengetahuan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pengalaman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Oleh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karena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itu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rendah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hati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menerima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saran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kritik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pembaca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agar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dapat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memperbaiki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Penulis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berharap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semoga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makalah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memberikan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manfaat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juga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inspirasi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untuk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pembaca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7063C131" w14:textId="77777777" w:rsidR="00CB3243" w:rsidRPr="00CB3243" w:rsidRDefault="00CB3243" w:rsidP="00CB324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35682F" w14:textId="5FEA9502" w:rsidR="00CB3243" w:rsidRDefault="00CB3243" w:rsidP="00CB324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2D01D4E" w14:textId="32863F42" w:rsidR="00644641" w:rsidRDefault="00644641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3358E9B" w14:textId="18ACC307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6C29A8B" w14:textId="62AF8668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2C441AA" w14:textId="3E17D03A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9C2720" w14:textId="2B95D03E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D62974B" w14:textId="3A52D7A3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7275552" w14:textId="5B00DABE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D48E74" w14:textId="5769D367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1DFF967" w14:textId="586F95DF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BD5615B" w14:textId="5404B5A0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7C6A0C0" w14:textId="311275BD" w:rsidR="00B62205" w:rsidRDefault="00B62205" w:rsidP="006446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78E17CD" w14:textId="77777777" w:rsidR="00B62205" w:rsidRPr="00B62205" w:rsidRDefault="00B62205" w:rsidP="00B6220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DAFTAR ISI</w:t>
      </w:r>
    </w:p>
    <w:p w14:paraId="6133D87B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Bab I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Pendahuluan</w:t>
      </w:r>
      <w:proofErr w:type="spellEnd"/>
    </w:p>
    <w:p w14:paraId="1D04CBB0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1.1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Latar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Belakang</w:t>
      </w:r>
      <w:proofErr w:type="spellEnd"/>
    </w:p>
    <w:p w14:paraId="5C06F315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1.2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Rumusan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Masalah</w:t>
      </w:r>
      <w:proofErr w:type="spellEnd"/>
    </w:p>
    <w:p w14:paraId="11A845CC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1.3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Penulisan</w:t>
      </w:r>
      <w:proofErr w:type="spellEnd"/>
    </w:p>
    <w:p w14:paraId="7F8A5C6D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1.4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Manfaat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Penulisan</w:t>
      </w:r>
      <w:proofErr w:type="spellEnd"/>
    </w:p>
    <w:p w14:paraId="7A08C013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Bab II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3CBD8A1F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2.1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</w:t>
      </w:r>
    </w:p>
    <w:p w14:paraId="4E688C6C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2.2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</w:t>
      </w:r>
    </w:p>
    <w:p w14:paraId="1BDFD7D0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Bab III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7567127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3.1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</w:t>
      </w:r>
    </w:p>
    <w:p w14:paraId="0E3C392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3.2 Hadis/Sunnah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</w:t>
      </w:r>
    </w:p>
    <w:p w14:paraId="37691915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3.3 Ijtihad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</w:t>
      </w:r>
    </w:p>
    <w:p w14:paraId="55F40FE5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Bab IV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Contoh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Hadis</w:t>
      </w:r>
    </w:p>
    <w:p w14:paraId="0F12B928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bookmarkStart w:id="0" w:name="_GoBack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4.1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Keteladanan</w:t>
      </w:r>
      <w:proofErr w:type="spellEnd"/>
    </w:p>
    <w:bookmarkEnd w:id="0"/>
    <w:p w14:paraId="5C55FBC3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4.2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Adat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Kebiasaan</w:t>
      </w:r>
      <w:proofErr w:type="spellEnd"/>
    </w:p>
    <w:p w14:paraId="69A84593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4.3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Nasehat</w:t>
      </w:r>
      <w:proofErr w:type="spellEnd"/>
    </w:p>
    <w:p w14:paraId="7781FB28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4.4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Pengawasan</w:t>
      </w:r>
      <w:proofErr w:type="spellEnd"/>
    </w:p>
    <w:p w14:paraId="508D16CE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4.5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Hukuman</w:t>
      </w:r>
      <w:proofErr w:type="spellEnd"/>
    </w:p>
    <w:p w14:paraId="4FB0BE9E" w14:textId="7EC54E26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Bab V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Kesimpulan</w:t>
      </w:r>
      <w:proofErr w:type="spellEnd"/>
    </w:p>
    <w:p w14:paraId="72540382" w14:textId="63D6FE77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Daftar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Pustaka</w:t>
      </w:r>
      <w:proofErr w:type="spellEnd"/>
    </w:p>
    <w:p w14:paraId="49ED1763" w14:textId="27A709FB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E36B3EE" w14:textId="23A191D2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863EF66" w14:textId="7CE3C1D1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88F5DBF" w14:textId="3F0C34BD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14D723D" w14:textId="11DCD18B" w:rsid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BD05B54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BAB I</w:t>
      </w:r>
    </w:p>
    <w:p w14:paraId="734C7FE0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PENDAHULUAN</w:t>
      </w:r>
    </w:p>
    <w:p w14:paraId="58D2B6D3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1.1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Latar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Belakang</w:t>
      </w:r>
      <w:proofErr w:type="spellEnd"/>
    </w:p>
    <w:p w14:paraId="26BC9FA2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pada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Sunnah,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berfungsi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pedoman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hidup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hadis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penjelasan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lebih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detail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terhadap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hukum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sementara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berperan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penting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menyesuaikan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ajaran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perkembangan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zaman.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Ketiga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ini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saling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melengkapi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membentuk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sistem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utuh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integral.</w:t>
      </w:r>
    </w:p>
    <w:p w14:paraId="2D44E1AB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1.2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Rumusan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Masalah</w:t>
      </w:r>
      <w:proofErr w:type="spellEnd"/>
    </w:p>
    <w:p w14:paraId="46923277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Apa</w:t>
      </w:r>
      <w:proofErr w:type="spellEnd"/>
      <w:proofErr w:type="gram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Islam?</w:t>
      </w:r>
    </w:p>
    <w:p w14:paraId="71A6D4CC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Bagaimana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kedudukan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Hadis,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Islam?</w:t>
      </w:r>
    </w:p>
    <w:p w14:paraId="283E809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Bagaimana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contoh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praktik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Hadis?</w:t>
      </w:r>
    </w:p>
    <w:p w14:paraId="00D7B251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1.3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Penulisan</w:t>
      </w:r>
      <w:proofErr w:type="spellEnd"/>
    </w:p>
    <w:p w14:paraId="6DE08D43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Menjelaskan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</w:t>
      </w:r>
    </w:p>
    <w:p w14:paraId="5A983A40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Mendeskripsikan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Hadis,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</w:t>
      </w:r>
    </w:p>
    <w:p w14:paraId="1CFF98D2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contoh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implementasi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berdasarkan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Hadis</w:t>
      </w: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</w:p>
    <w:p w14:paraId="14967587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1.4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Manfaat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Penulisan</w:t>
      </w:r>
      <w:proofErr w:type="spellEnd"/>
    </w:p>
    <w:p w14:paraId="6B276939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pemahaman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tentang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</w:t>
      </w:r>
    </w:p>
    <w:p w14:paraId="61FC9DDA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Menjadi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referensi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akademik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bagi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mahasiswa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kajian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</w:t>
      </w:r>
    </w:p>
    <w:p w14:paraId="33408EA3" w14:textId="423D2FAF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Menambah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wawasan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praktis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penerapan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berbasis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Hadis,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Ijtihad.</w:t>
      </w:r>
    </w:p>
    <w:p w14:paraId="405B2BCF" w14:textId="04AC78DF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67A5C03A" w14:textId="5CCC5A45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ED7F3B9" w14:textId="0DADAC91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4EACBFE8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BAB II</w:t>
      </w:r>
    </w:p>
    <w:p w14:paraId="544B0611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TUJUAN DAN SASARAN PENDIDIKAN ISLAM</w:t>
      </w:r>
    </w:p>
    <w:p w14:paraId="5D348B66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2.1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43D49DFF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Menurut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Ahmad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Atiya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Al-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Ibrashi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tujuan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meliputi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14:paraId="4EBE269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moral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inti.</w:t>
      </w:r>
    </w:p>
    <w:p w14:paraId="6FDB385C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Keseimbangan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dunia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akhirat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480E0287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Menekankan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aspek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bermanfaat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kehidupan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5C83DE77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Mendorong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penguasaan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ilmu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pengetahuan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49FA6AE0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5.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Mengajarkan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keterampilan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kerja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industri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untuk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memenuhi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kebutuhan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hidup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26E2DF94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2.2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68A80030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Sasaran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mencakup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14:paraId="101C1FF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1.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Menyadarkan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manusia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atas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perannya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khalifah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di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bumi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2202D0C6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2.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Menyadarkan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fungsi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sosial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manusia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bermasyarakat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610FFC71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3.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Membentuk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kesadaran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religius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agar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hidup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sesuai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nilai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ilahiah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3D5463F3" w14:textId="55F57372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4.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Membimbing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manusia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memahami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kedudukan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terhadap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makhluk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lain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mengambil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manfaat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darinya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bijaksana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445ACB88" w14:textId="6A3F088E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F381BDC" w14:textId="76918C74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48C62D8F" w14:textId="75CEA4AE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390B055" w14:textId="30C96FF1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AD839D5" w14:textId="142F6C95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7A655F8D" w14:textId="1E0F92BF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567D59DD" w14:textId="21ED6122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2AB413C5" w14:textId="59672BCE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56909B5E" w14:textId="56B29070" w:rsidR="00E3135A" w:rsidRPr="00B62205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698B4681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BAB III</w:t>
      </w:r>
    </w:p>
    <w:p w14:paraId="1F1CABEA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SUMBER PENDIDIKAN ISLAM</w:t>
      </w:r>
    </w:p>
    <w:p w14:paraId="29FBFCD0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3.1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431E7202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adalah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utama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ajaran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 </w:t>
      </w:r>
      <w:proofErr w:type="spellStart"/>
      <w:proofErr w:type="gram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Ia</w:t>
      </w:r>
      <w:proofErr w:type="spellEnd"/>
      <w:proofErr w:type="gram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berfungsi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petunjuk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pembeda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antara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benar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salah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serta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menjadi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dasar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pembentukan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moral.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konteks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arahan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universal,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seperti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keadilan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persamaan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kemanusiaan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02088448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3.2 Hadis/Sunnah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1BC7718F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Hadis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menjadi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kedua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setelah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Ia</w:t>
      </w:r>
      <w:proofErr w:type="spellEnd"/>
      <w:proofErr w:type="gram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memperinci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ajaran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contoh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konkret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menegaskan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hukum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Peran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hadis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antara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lain:</w:t>
      </w:r>
    </w:p>
    <w:p w14:paraId="4D5C45A8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-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Menjelaskan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masih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bersifat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umum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67E90C2E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-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batasan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hukum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tertentu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72852BDB" w14:textId="77777777" w:rsidR="00B62205" w:rsidRP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-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teladan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hidup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Rasulullah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pendidik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utama</w:t>
      </w:r>
      <w:proofErr w:type="spellEnd"/>
      <w:r w:rsidRPr="00B62205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79F06704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3.3 Ijtihad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sebagai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Sumber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Islam</w:t>
      </w:r>
    </w:p>
    <w:p w14:paraId="326B2B98" w14:textId="77777777" w:rsid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adalah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usaha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maksimal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seorang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ulama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menetapkan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hukum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tidak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dijelaskan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secara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eksplisit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Hadis.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Bentuknya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antara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lain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ra’yu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qiyas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proofErr w:type="gram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proofErr w:type="gram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istihsan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membantu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membangun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sistem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dialogis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</w:p>
    <w:p w14:paraId="16AD0B67" w14:textId="6FAFDBD7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proofErr w:type="gram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adaptif</w:t>
      </w:r>
      <w:proofErr w:type="spellEnd"/>
      <w:proofErr w:type="gram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sesuai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perkembangan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zaman.</w:t>
      </w:r>
    </w:p>
    <w:p w14:paraId="4891BE9E" w14:textId="1A4A8273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77B4175" w14:textId="0E8AEA84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2538899" w14:textId="59AC035D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709DFF4" w14:textId="10E163F8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1C4C9C8" w14:textId="657DC955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25A1AD41" w14:textId="46805541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445372C2" w14:textId="506655A4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0F05444" w14:textId="1EDD6675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2EB0615C" w14:textId="77777777" w:rsidR="00E3135A" w:rsidRP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79B2724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BAB IV</w:t>
      </w:r>
    </w:p>
    <w:p w14:paraId="663956CF" w14:textId="3B19EF77" w:rsid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CONTOH PENDIDIKAN DALAM ALQURAN DAN HADIS</w:t>
      </w:r>
    </w:p>
    <w:p w14:paraId="6D047375" w14:textId="77777777" w:rsidR="00E3135A" w:rsidRPr="00B62205" w:rsidRDefault="00E3135A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0C42F05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4.1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Keteladanan</w:t>
      </w:r>
      <w:proofErr w:type="spellEnd"/>
    </w:p>
    <w:p w14:paraId="414CBB44" w14:textId="77777777" w:rsidR="00B62205" w:rsidRP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QS. 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Ahzab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21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menegaskan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Rasulullah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teladan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terbaik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bagi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umat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</w:t>
      </w:r>
    </w:p>
    <w:p w14:paraId="37B9017C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4.2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Adat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Kebiasaan</w:t>
      </w:r>
      <w:proofErr w:type="spellEnd"/>
    </w:p>
    <w:p w14:paraId="4F7ACD75" w14:textId="77777777" w:rsidR="00B62205" w:rsidRP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QS.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Ar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-Rum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30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menunjukkan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pentingnya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fitrah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manusia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harus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dibimbing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sesuai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agama.</w:t>
      </w:r>
    </w:p>
    <w:p w14:paraId="3528F26C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4.3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Nasehat</w:t>
      </w:r>
      <w:proofErr w:type="spellEnd"/>
    </w:p>
    <w:p w14:paraId="7EE8E8CE" w14:textId="77777777" w:rsidR="00B62205" w:rsidRP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QS.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Luqman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13–17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berisi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nasihat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Lukman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kepada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anaknya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mengenai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tauhid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ibadah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akhlak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kesabaran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4838234B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4.4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Pengawasan</w:t>
      </w:r>
      <w:proofErr w:type="spellEnd"/>
    </w:p>
    <w:p w14:paraId="2CAEC2D9" w14:textId="77777777" w:rsidR="00B62205" w:rsidRP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QS.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Thoha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132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menjelaskan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perintah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agar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keluarga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diawasi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mendirikan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shalat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4775C710" w14:textId="77777777" w:rsidR="00B62205" w:rsidRPr="00B62205" w:rsidRDefault="00B62205" w:rsidP="00B62205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4.5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Pendidikan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dengan</w:t>
      </w:r>
      <w:proofErr w:type="spellEnd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Hukuman</w:t>
      </w:r>
      <w:proofErr w:type="spellEnd"/>
    </w:p>
    <w:p w14:paraId="25AC3BFC" w14:textId="77777777" w:rsidR="00E3135A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QS. 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Baqarah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ayat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179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menunjukkan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bahwa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hukuman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(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qishash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) </w:t>
      </w:r>
    </w:p>
    <w:p w14:paraId="0C628E8D" w14:textId="16CEA831" w:rsidR="00B62205" w:rsidRDefault="00B62205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proofErr w:type="gram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memiliki</w:t>
      </w:r>
      <w:proofErr w:type="spellEnd"/>
      <w:proofErr w:type="gram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nilai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1117177A" w14:textId="3DEC5539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2E8E4480" w14:textId="22E69F58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47BB955" w14:textId="19819480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B2AA2D5" w14:textId="4DB57EEC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46D310C1" w14:textId="2A36A0F8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CCA104E" w14:textId="3EE03B61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B52D72C" w14:textId="74159224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7A946324" w14:textId="29AC43DB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50B3F210" w14:textId="225A30EC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791390CB" w14:textId="77777777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6DFCA55" w14:textId="77777777" w:rsidR="00E3135A" w:rsidRP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C03739E" w14:textId="77777777" w:rsidR="00B62205" w:rsidRP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BAB V</w:t>
      </w:r>
    </w:p>
    <w:p w14:paraId="6B77374F" w14:textId="17F7A2D6" w:rsid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KESIMPULAN</w:t>
      </w:r>
    </w:p>
    <w:p w14:paraId="122EA597" w14:textId="77777777" w:rsidR="00E3135A" w:rsidRPr="00B62205" w:rsidRDefault="00E3135A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0B9C713B" w14:textId="30DB55C8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Hadis,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merupakan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tiga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sumber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utama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tidak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dapat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dipisahkan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pedoman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utama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berupa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nilai-nilai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universal, Hadis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berfungsi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sebagai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penjelas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teladan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praktis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sementara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ruang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bagi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penyesuaian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hukum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</w:t>
      </w:r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ikan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perkembangan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zaman.</w:t>
      </w:r>
    </w:p>
    <w:p w14:paraId="0F144A97" w14:textId="0825108D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Tujuan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bukan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hanya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mencetak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manusia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cerdas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secara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intelektual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tetapi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juga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membentuk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pribadi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berakhlak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mulia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seimbang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antara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kehidupan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dunia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akhirat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serta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mampu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menjadi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khalifah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Allah di </w:t>
      </w:r>
      <w:proofErr w:type="spellStart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bumi</w:t>
      </w:r>
      <w:proofErr w:type="spellEnd"/>
      <w:r w:rsidR="00E3135A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187E361C" w14:textId="2261DD99" w:rsidR="00B62205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Contoh-contoh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Hadis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seperti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keteladanan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nasehat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pengawasan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hukuman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memberikan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metode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aplikatif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dapat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diterapkan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dalam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dunia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modern.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Dengan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demikian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integrasi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antara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Alquran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Hadis,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menghasilkan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sistem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 yang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utuh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integral,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relevan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sepanjang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masa.</w:t>
      </w:r>
    </w:p>
    <w:p w14:paraId="1F7EEB55" w14:textId="6316F0EC" w:rsidR="00E3135A" w:rsidRDefault="00E3135A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2256DCC" w14:textId="70F1D956" w:rsidR="00E3135A" w:rsidRDefault="00E3135A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92BBB39" w14:textId="6DBA3160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B052E82" w14:textId="6976B2E5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9B9E1D9" w14:textId="77777777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891209E" w14:textId="129D0B84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2DCF90AF" w14:textId="0EEE593A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68E1BCC4" w14:textId="37139BF9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06536119" w14:textId="47C0B40E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46C84ADD" w14:textId="0CECC898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72D82D8E" w14:textId="6A58A595" w:rsid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1AFAB965" w14:textId="6AD3AF35" w:rsidR="00E3135A" w:rsidRPr="00E3135A" w:rsidRDefault="00E3135A" w:rsidP="00B62205">
      <w:pPr>
        <w:rPr>
          <w:rFonts w:asciiTheme="majorBidi" w:hAnsiTheme="majorBidi" w:cstheme="majorBidi"/>
          <w:bCs/>
          <w:sz w:val="28"/>
          <w:szCs w:val="28"/>
          <w:lang w:val="en-US"/>
        </w:rPr>
      </w:pPr>
    </w:p>
    <w:p w14:paraId="3CEE8CF0" w14:textId="2609DBA6" w:rsidR="00B62205" w:rsidRDefault="00B62205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62205">
        <w:rPr>
          <w:rFonts w:asciiTheme="majorBidi" w:hAnsiTheme="majorBidi" w:cstheme="majorBidi"/>
          <w:b/>
          <w:bCs/>
          <w:sz w:val="28"/>
          <w:szCs w:val="28"/>
          <w:lang w:val="en-US"/>
        </w:rPr>
        <w:t>DAFTAR PUSTAKA</w:t>
      </w:r>
    </w:p>
    <w:p w14:paraId="633C362F" w14:textId="77777777" w:rsidR="00E3135A" w:rsidRPr="00B62205" w:rsidRDefault="00E3135A" w:rsidP="00E3135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26A1B8F1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Arifin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H.M.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Ilmu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Bumi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Aksara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1994.</w:t>
      </w:r>
    </w:p>
    <w:p w14:paraId="2540C2A7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Atiya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Alibrasi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Muhammad.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Dasar-dasar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 Surabaya: PSIA, 1991.</w:t>
      </w:r>
    </w:p>
    <w:p w14:paraId="407856FC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Fakhry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Madjid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Sejarah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Filsafat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Pustaka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Jaya, 1983.</w:t>
      </w:r>
    </w:p>
    <w:p w14:paraId="63ADE4FA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Ghazali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Abu Muhammad.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Tahaafut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Falasifah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Pustaka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Panjimas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1986.</w:t>
      </w:r>
    </w:p>
    <w:p w14:paraId="21362616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Hasan, Ahmad.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Pintu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Sebelum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Tertutup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Bandung: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Pustaka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1994.</w:t>
      </w:r>
    </w:p>
    <w:p w14:paraId="355FD69C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Madkaur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Ibrahim.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Filsafat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Metode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Penerapan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Rajawali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1998.</w:t>
      </w:r>
    </w:p>
    <w:p w14:paraId="38B8F67D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Majid,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Nurcholis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Pergeseran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Pengertian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Sunnah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ke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Hadis.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Paramadina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1995.</w:t>
      </w:r>
    </w:p>
    <w:p w14:paraId="2AD4EEC1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Majid,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Nurcholis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Taqliq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Ijtihad. Bandung: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Pustaka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1986.</w:t>
      </w:r>
    </w:p>
    <w:p w14:paraId="45D837AE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Minarti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, Sri.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Ilmu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Pendidikan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Islam: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Fakta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Teoretis-Filosofis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dan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Aplikatif-Normatif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Amzah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2013.</w:t>
      </w:r>
    </w:p>
    <w:p w14:paraId="5F5F841B" w14:textId="5B09E7AE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Syafi’i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Imam. Al-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Risalah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. Jakarta: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Pustaka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Panjimas</w:t>
      </w:r>
      <w:proofErr w:type="spellEnd"/>
      <w:r w:rsidRPr="00E3135A">
        <w:rPr>
          <w:rFonts w:asciiTheme="majorBidi" w:hAnsiTheme="majorBidi" w:cstheme="majorBidi"/>
          <w:bCs/>
          <w:sz w:val="28"/>
          <w:szCs w:val="28"/>
          <w:lang w:val="en-US"/>
        </w:rPr>
        <w:t>, 198</w:t>
      </w:r>
      <w:r w:rsidR="00E3135A" w:rsidRPr="00E3135A">
        <w:rPr>
          <w:rFonts w:asciiTheme="majorBidi" w:hAnsiTheme="majorBidi" w:cstheme="majorBidi"/>
          <w:bCs/>
          <w:sz w:val="28"/>
          <w:szCs w:val="28"/>
          <w:lang w:val="en-US"/>
        </w:rPr>
        <w:t>1.</w:t>
      </w:r>
    </w:p>
    <w:p w14:paraId="2C3B96F3" w14:textId="77777777" w:rsidR="00B62205" w:rsidRPr="00E3135A" w:rsidRDefault="00B62205" w:rsidP="00E3135A">
      <w:pPr>
        <w:jc w:val="both"/>
        <w:rPr>
          <w:rFonts w:asciiTheme="majorBidi" w:hAnsiTheme="majorBidi" w:cstheme="majorBidi"/>
          <w:bCs/>
          <w:sz w:val="28"/>
          <w:szCs w:val="28"/>
        </w:rPr>
      </w:pPr>
    </w:p>
    <w:sectPr w:rsidR="00B62205" w:rsidRPr="00E3135A" w:rsidSect="00644641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41"/>
    <w:rsid w:val="00644641"/>
    <w:rsid w:val="008F6A79"/>
    <w:rsid w:val="00994E59"/>
    <w:rsid w:val="00B62205"/>
    <w:rsid w:val="00B74399"/>
    <w:rsid w:val="00CB3243"/>
    <w:rsid w:val="00E3135A"/>
    <w:rsid w:val="00E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A8D7"/>
  <w15:chartTrackingRefBased/>
  <w15:docId w15:val="{0DF543E2-71B5-470A-BD7F-AFABD52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3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Ana Bela</dc:creator>
  <cp:keywords/>
  <dc:description/>
  <cp:lastModifiedBy>acer</cp:lastModifiedBy>
  <cp:revision>2</cp:revision>
  <dcterms:created xsi:type="dcterms:W3CDTF">2025-09-06T08:52:00Z</dcterms:created>
  <dcterms:modified xsi:type="dcterms:W3CDTF">2025-09-06T08:52:00Z</dcterms:modified>
</cp:coreProperties>
</file>