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BB" w:rsidRDefault="001345BB" w:rsidP="001345BB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Nama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Stefanny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Margaretha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Dabukke</w:t>
      </w:r>
      <w:proofErr w:type="spellEnd"/>
    </w:p>
    <w:p w:rsidR="001345BB" w:rsidRDefault="001345BB" w:rsidP="001345BB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NPM: 2012011286</w:t>
      </w:r>
    </w:p>
    <w:p w:rsidR="001345BB" w:rsidRDefault="001345BB" w:rsidP="001345BB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Mata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kuliah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Pendidikan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Bahasa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Indonesia</w:t>
      </w:r>
    </w:p>
    <w:p w:rsidR="001345BB" w:rsidRDefault="001345BB" w:rsidP="001345BB">
      <w:pPr>
        <w:spacing w:line="360" w:lineRule="auto"/>
        <w:contextualSpacing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Dosen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Pengajar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sz w:val="24"/>
          <w:szCs w:val="24"/>
        </w:rPr>
        <w:t>Atik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Kartika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S.Pd</w:t>
      </w:r>
      <w:proofErr w:type="spellEnd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M.Pd</w:t>
      </w:r>
      <w:proofErr w:type="spellEnd"/>
      <w:r>
        <w:rPr>
          <w:sz w:val="24"/>
          <w:szCs w:val="24"/>
        </w:rPr>
        <w:t>.</w:t>
      </w:r>
    </w:p>
    <w:p w:rsidR="001345BB" w:rsidRDefault="001345BB" w:rsidP="001345BB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AE55AB" w:rsidRDefault="001345BB">
      <w:pPr>
        <w:rPr>
          <w:rFonts w:cstheme="minorHAnsi"/>
          <w:sz w:val="24"/>
          <w:szCs w:val="24"/>
        </w:rPr>
      </w:pPr>
      <w:proofErr w:type="spellStart"/>
      <w:r w:rsidRPr="001345BB">
        <w:rPr>
          <w:rFonts w:cstheme="minorHAnsi"/>
          <w:sz w:val="24"/>
          <w:szCs w:val="24"/>
        </w:rPr>
        <w:t>Tugas</w:t>
      </w:r>
      <w:proofErr w:type="spellEnd"/>
    </w:p>
    <w:p w:rsidR="00AE55AB" w:rsidRPr="00AE55AB" w:rsidRDefault="00AE55AB">
      <w:pPr>
        <w:rPr>
          <w:rFonts w:cstheme="minorHAnsi"/>
          <w:color w:val="444444"/>
          <w:sz w:val="24"/>
          <w:szCs w:val="24"/>
          <w:shd w:val="clear" w:color="auto" w:fill="F5F5F5"/>
        </w:rPr>
      </w:pPr>
      <w:proofErr w:type="spellStart"/>
      <w:r>
        <w:rPr>
          <w:rFonts w:cstheme="minorHAnsi"/>
          <w:sz w:val="24"/>
          <w:szCs w:val="24"/>
        </w:rPr>
        <w:t>Tiga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contoh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Penyintesisan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Karya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Tulis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Ilmiah</w:t>
      </w:r>
      <w:proofErr w:type="spellEnd"/>
    </w:p>
    <w:p w:rsidR="005A2103" w:rsidRPr="00C319F1" w:rsidRDefault="005A2103" w:rsidP="00C319F1">
      <w:pPr>
        <w:pStyle w:val="ListParagraph"/>
        <w:numPr>
          <w:ilvl w:val="0"/>
          <w:numId w:val="5"/>
        </w:numPr>
        <w:shd w:val="clear" w:color="auto" w:fill="FFFFFF"/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val="de-LU"/>
        </w:rPr>
      </w:pPr>
      <w:r w:rsidRPr="00C319F1">
        <w:rPr>
          <w:rFonts w:eastAsia="Times New Roman" w:cstheme="minorHAnsi"/>
          <w:color w:val="000000" w:themeColor="text1"/>
          <w:sz w:val="24"/>
          <w:szCs w:val="24"/>
          <w:lang w:val="de-LU"/>
        </w:rPr>
        <w:t>Definisi Hukum menurut para ahli</w:t>
      </w:r>
      <w:bookmarkStart w:id="0" w:name="_GoBack"/>
      <w:bookmarkEnd w:id="0"/>
    </w:p>
    <w:p w:rsidR="005A2103" w:rsidRPr="009308A7" w:rsidRDefault="005A2103" w:rsidP="00C319F1">
      <w:pPr>
        <w:shd w:val="clear" w:color="auto" w:fill="FFFFFF"/>
        <w:spacing w:after="0"/>
        <w:ind w:left="360" w:hanging="360"/>
        <w:jc w:val="both"/>
        <w:rPr>
          <w:rFonts w:eastAsia="Times New Roman" w:cstheme="minorHAnsi"/>
          <w:color w:val="000000" w:themeColor="text1"/>
          <w:sz w:val="24"/>
          <w:szCs w:val="24"/>
          <w:lang w:val="de-LU"/>
        </w:rPr>
      </w:pPr>
    </w:p>
    <w:p w:rsidR="000825E2" w:rsidRPr="009308A7" w:rsidRDefault="000825E2" w:rsidP="00C319F1">
      <w:pPr>
        <w:shd w:val="clear" w:color="auto" w:fill="FFFFFF"/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308A7">
        <w:rPr>
          <w:rFonts w:eastAsia="Times New Roman" w:cstheme="minorHAnsi"/>
          <w:color w:val="000000" w:themeColor="text1"/>
          <w:sz w:val="24"/>
          <w:szCs w:val="24"/>
          <w:lang w:val="de-LU"/>
        </w:rPr>
        <w:t>1.</w:t>
      </w:r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  <w:lang w:val="de-LU"/>
        </w:rPr>
        <w:t>Utrecht</w:t>
      </w:r>
    </w:p>
    <w:p w:rsidR="000825E2" w:rsidRPr="009308A7" w:rsidRDefault="000825E2" w:rsidP="00C319F1">
      <w:pPr>
        <w:shd w:val="clear" w:color="auto" w:fill="FFFFFF"/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308A7">
        <w:rPr>
          <w:rFonts w:eastAsia="Times New Roman" w:cstheme="minorHAnsi"/>
          <w:color w:val="000000" w:themeColor="text1"/>
          <w:sz w:val="24"/>
          <w:szCs w:val="24"/>
          <w:lang w:val="de-LU"/>
        </w:rPr>
        <w:t>Hukum merupakan himpunan petunjuk hidup - perintah dan larangan yang mengatur tata tertib dalam suatu masyarakat yang seharusnya ditaati oleh seluruh anggota masyarakat oleh karena itu pelanggaran petunjuk hidup tersebut dapat menimbulkan tindakan oleh </w:t>
      </w:r>
      <w:r w:rsidRPr="009308A7">
        <w:rPr>
          <w:rFonts w:eastAsia="Times New Roman" w:cstheme="minorHAnsi"/>
          <w:color w:val="000000" w:themeColor="text1"/>
          <w:sz w:val="24"/>
          <w:szCs w:val="24"/>
          <w:lang w:val="id-ID"/>
        </w:rPr>
        <w:t>pemerintah/penguasa</w:t>
      </w:r>
      <w:r w:rsidRPr="009308A7">
        <w:rPr>
          <w:rFonts w:eastAsia="Times New Roman" w:cstheme="minorHAnsi"/>
          <w:color w:val="000000" w:themeColor="text1"/>
          <w:sz w:val="24"/>
          <w:szCs w:val="24"/>
          <w:lang w:val="de-LU"/>
        </w:rPr>
        <w:t> itu.</w:t>
      </w:r>
    </w:p>
    <w:p w:rsidR="000825E2" w:rsidRPr="009308A7" w:rsidRDefault="000825E2" w:rsidP="00C319F1">
      <w:pPr>
        <w:spacing w:after="0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p w:rsidR="000825E2" w:rsidRPr="009308A7" w:rsidRDefault="000825E2" w:rsidP="00C319F1">
      <w:pPr>
        <w:shd w:val="clear" w:color="auto" w:fill="FFFFFF"/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proofErr w:type="gramStart"/>
      <w:r w:rsidRPr="009308A7">
        <w:rPr>
          <w:rFonts w:eastAsia="Times New Roman" w:cstheme="minorHAnsi"/>
          <w:color w:val="000000" w:themeColor="text1"/>
          <w:sz w:val="24"/>
          <w:szCs w:val="24"/>
        </w:rPr>
        <w:t>2.</w:t>
      </w:r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Aristoteles</w:t>
      </w:r>
      <w:proofErr w:type="gramEnd"/>
    </w:p>
    <w:p w:rsidR="000825E2" w:rsidRPr="009308A7" w:rsidRDefault="000825E2" w:rsidP="00C319F1">
      <w:pPr>
        <w:shd w:val="clear" w:color="auto" w:fill="FFFFFF"/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308A7">
        <w:rPr>
          <w:rFonts w:eastAsia="Times New Roman" w:cstheme="minorHAnsi"/>
          <w:color w:val="000000" w:themeColor="text1"/>
          <w:sz w:val="24"/>
          <w:szCs w:val="24"/>
          <w:lang w:val="id-ID"/>
        </w:rPr>
        <w:t>Hukum hanya sebagai kumpulan peraturan yang tidak hanya mengikat masyarakat tetapi juga hakim.</w:t>
      </w:r>
    </w:p>
    <w:p w:rsidR="005A2103" w:rsidRPr="009308A7" w:rsidRDefault="005A2103" w:rsidP="00C319F1">
      <w:pPr>
        <w:shd w:val="clear" w:color="auto" w:fill="FFFFFF"/>
        <w:spacing w:after="0"/>
        <w:ind w:left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:rsidR="000825E2" w:rsidRPr="009308A7" w:rsidRDefault="000825E2" w:rsidP="00C319F1">
      <w:pPr>
        <w:shd w:val="clear" w:color="auto" w:fill="FFFFFF"/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proofErr w:type="gramStart"/>
      <w:r w:rsidRPr="009308A7">
        <w:rPr>
          <w:rFonts w:eastAsia="Times New Roman" w:cstheme="minorHAnsi"/>
          <w:color w:val="000000" w:themeColor="text1"/>
          <w:sz w:val="24"/>
          <w:szCs w:val="24"/>
        </w:rPr>
        <w:t>3.</w:t>
      </w:r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Abdulkadir</w:t>
      </w:r>
      <w:proofErr w:type="gramEnd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Muhammad, SH</w:t>
      </w:r>
    </w:p>
    <w:p w:rsidR="000825E2" w:rsidRPr="009308A7" w:rsidRDefault="000825E2" w:rsidP="00C319F1">
      <w:pPr>
        <w:shd w:val="clear" w:color="auto" w:fill="FFFFFF"/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308A7">
        <w:rPr>
          <w:rFonts w:eastAsia="Times New Roman" w:cstheme="minorHAnsi"/>
          <w:color w:val="000000" w:themeColor="text1"/>
          <w:sz w:val="24"/>
          <w:szCs w:val="24"/>
          <w:lang w:val="id-ID"/>
        </w:rPr>
        <w:t>Hukum adalah segala peraturan tertulis dan tidak tertulis yang mempunyai sanksi yang tegas terhadap pelanggarnya.</w:t>
      </w:r>
    </w:p>
    <w:p w:rsidR="005A2103" w:rsidRPr="009308A7" w:rsidRDefault="005A2103" w:rsidP="00C319F1">
      <w:pPr>
        <w:shd w:val="clear" w:color="auto" w:fill="FFFFFF"/>
        <w:spacing w:after="0"/>
        <w:ind w:left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:rsidR="005A2103" w:rsidRPr="009308A7" w:rsidRDefault="005A2103" w:rsidP="00C319F1">
      <w:pPr>
        <w:shd w:val="clear" w:color="auto" w:fill="FFFFFF"/>
        <w:spacing w:after="0"/>
        <w:ind w:left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Dari </w:t>
      </w:r>
      <w:proofErr w:type="spellStart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paparan</w:t>
      </w:r>
      <w:proofErr w:type="spellEnd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tiga</w:t>
      </w:r>
      <w:proofErr w:type="spellEnd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pakar</w:t>
      </w:r>
      <w:proofErr w:type="spellEnd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tadi</w:t>
      </w:r>
      <w:proofErr w:type="spellEnd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teori</w:t>
      </w:r>
      <w:proofErr w:type="spellEnd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Hukum</w:t>
      </w:r>
      <w:proofErr w:type="spellEnd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dapat</w:t>
      </w:r>
      <w:proofErr w:type="spellEnd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disintisesiskan</w:t>
      </w:r>
      <w:proofErr w:type="spellEnd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menjadi</w:t>
      </w:r>
      <w:proofErr w:type="spellEnd"/>
      <w:r w:rsidRPr="009308A7">
        <w:rPr>
          <w:rFonts w:eastAsia="Times New Roman" w:cstheme="minorHAnsi"/>
          <w:b/>
          <w:bCs/>
          <w:color w:val="000000" w:themeColor="text1"/>
          <w:sz w:val="24"/>
          <w:szCs w:val="24"/>
        </w:rPr>
        <w:t>:</w:t>
      </w:r>
    </w:p>
    <w:p w:rsidR="005A2103" w:rsidRPr="009308A7" w:rsidRDefault="005A2103" w:rsidP="00C319F1">
      <w:pPr>
        <w:shd w:val="clear" w:color="auto" w:fill="FFFFFF"/>
        <w:spacing w:after="0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val="de-LU"/>
        </w:rPr>
      </w:pPr>
      <w:r w:rsidRPr="009308A7">
        <w:rPr>
          <w:rFonts w:eastAsia="Times New Roman" w:cstheme="minorHAnsi"/>
          <w:color w:val="000000" w:themeColor="text1"/>
          <w:sz w:val="24"/>
          <w:szCs w:val="24"/>
          <w:lang w:val="de-LU"/>
        </w:rPr>
        <w:t xml:space="preserve">Hukum adalah perintah dan larangan guna mengatur tata tertib di masyarakat yang harus ditaati </w:t>
      </w:r>
      <w:r w:rsidRPr="009308A7">
        <w:rPr>
          <w:rFonts w:eastAsia="Times New Roman" w:cstheme="minorHAnsi"/>
          <w:color w:val="000000" w:themeColor="text1"/>
          <w:sz w:val="24"/>
          <w:szCs w:val="24"/>
          <w:lang w:val="de-LU"/>
        </w:rPr>
        <w:t>dan</w:t>
      </w:r>
      <w:r w:rsidRPr="009308A7">
        <w:rPr>
          <w:rFonts w:eastAsia="Times New Roman" w:cstheme="minorHAnsi"/>
          <w:color w:val="000000" w:themeColor="text1"/>
          <w:sz w:val="24"/>
          <w:szCs w:val="24"/>
          <w:lang w:val="de-LU"/>
        </w:rPr>
        <w:t xml:space="preserve"> menimbulkan sanksi</w:t>
      </w:r>
      <w:r w:rsidRPr="009308A7">
        <w:rPr>
          <w:rFonts w:eastAsia="Times New Roman" w:cstheme="minorHAnsi"/>
          <w:color w:val="000000" w:themeColor="text1"/>
          <w:sz w:val="24"/>
          <w:szCs w:val="24"/>
          <w:lang w:val="de-LU"/>
        </w:rPr>
        <w:t xml:space="preserve"> yang tegas jika seluruh masyarakat tidak mematuhi perintah tersebut.</w:t>
      </w:r>
    </w:p>
    <w:p w:rsidR="000825E2" w:rsidRPr="00C319F1" w:rsidRDefault="000825E2" w:rsidP="00C319F1">
      <w:pPr>
        <w:rPr>
          <w:rFonts w:cstheme="minorHAnsi"/>
          <w:color w:val="000000" w:themeColor="text1"/>
          <w:sz w:val="24"/>
          <w:szCs w:val="24"/>
        </w:rPr>
      </w:pPr>
    </w:p>
    <w:p w:rsidR="00C319F1" w:rsidRPr="00C319F1" w:rsidRDefault="00C319F1" w:rsidP="00C319F1">
      <w:pPr>
        <w:pStyle w:val="NormalWeb"/>
        <w:numPr>
          <w:ilvl w:val="0"/>
          <w:numId w:val="5"/>
        </w:numPr>
        <w:spacing w:line="276" w:lineRule="auto"/>
        <w:ind w:left="360"/>
        <w:rPr>
          <w:rFonts w:asciiTheme="minorHAnsi" w:hAnsiTheme="minorHAnsi" w:cstheme="minorHAnsi"/>
          <w:color w:val="000000" w:themeColor="text1"/>
        </w:rPr>
      </w:pPr>
      <w:proofErr w:type="spellStart"/>
      <w:r w:rsidRPr="00C319F1">
        <w:rPr>
          <w:rFonts w:asciiTheme="minorHAnsi" w:hAnsiTheme="minorHAnsi" w:cstheme="minorHAnsi"/>
          <w:color w:val="000000" w:themeColor="text1"/>
        </w:rPr>
        <w:t>Anak-anak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memperoleh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komponen-komponen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utama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bahasa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ibu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mereka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dalam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waktu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relatif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singkat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Ketika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mereka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mulai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bersekolah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mempelajari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bahasa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secara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formal,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mereka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sudah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mengetahui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cara</w:t>
      </w:r>
      <w:proofErr w:type="spellEnd"/>
      <w:proofErr w:type="gram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berbicara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untuk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berkomunikasi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orang lain.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Mereka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sudah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mengetahui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mengucapkan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sejumlah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besar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kata.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Namun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perkembangan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bahasa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tidak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berhenti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ketika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seorang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anak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sudah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mulai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bersekolah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atau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ketika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dia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sudah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dewasa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. Proses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perkembangan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terus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berlangsung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sepanjang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hayat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Bayi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mulai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memperoleh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bahasa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ketika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berumur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kurang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dari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satu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tahun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sebelum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dapat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mengucapkan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suatu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kata.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Mereka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lastRenderedPageBreak/>
        <w:t>memperhatikan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muka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orang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dewasa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menanggapi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orang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dewasa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meskipun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tentu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saja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belum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menggunakan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bahasa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dalam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arti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sebenarnya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Mereka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juga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dapat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membedakan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beberapa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ucapan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orang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dewasa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>.</w:t>
      </w:r>
    </w:p>
    <w:p w:rsidR="00C319F1" w:rsidRPr="00C319F1" w:rsidRDefault="00C319F1" w:rsidP="00C319F1">
      <w:pPr>
        <w:pStyle w:val="NormalWeb"/>
        <w:spacing w:line="276" w:lineRule="auto"/>
        <w:ind w:left="360"/>
        <w:rPr>
          <w:rFonts w:asciiTheme="minorHAnsi" w:hAnsiTheme="minorHAnsi" w:cstheme="minorHAnsi"/>
          <w:color w:val="000000" w:themeColor="text1"/>
        </w:rPr>
      </w:pP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Selanjutnya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ketika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berumur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satu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tahun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bayi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mulai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mengoceh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bermain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bunyi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seperti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halnya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bermain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jari-jari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tangan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jari-jari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kakinya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>.</w:t>
      </w:r>
      <w:proofErr w:type="gram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Seperti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halnya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kemampuan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berjalan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kemampuan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berbicara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anak-anak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seluruh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dunia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mulai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pada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umur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hampir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sama</w:t>
      </w:r>
      <w:proofErr w:type="spellEnd"/>
      <w:proofErr w:type="gram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cara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hampir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sama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pula. </w:t>
      </w: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Perkembangan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bahasa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pada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periode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ini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disebut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perkembangan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pralinguistik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(Gleason, 1985: 3).”</w:t>
      </w:r>
      <w:proofErr w:type="gramEnd"/>
    </w:p>
    <w:p w:rsidR="00C319F1" w:rsidRPr="00C319F1" w:rsidRDefault="00C319F1" w:rsidP="00C319F1">
      <w:pPr>
        <w:pStyle w:val="NormalWeb"/>
        <w:spacing w:line="276" w:lineRule="auto"/>
        <w:ind w:left="360"/>
        <w:contextualSpacing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C319F1">
        <w:rPr>
          <w:rFonts w:asciiTheme="minorHAnsi" w:hAnsiTheme="minorHAnsi" w:cstheme="minorHAnsi"/>
          <w:b/>
          <w:color w:val="000000" w:themeColor="text1"/>
        </w:rPr>
        <w:t>Jika</w:t>
      </w:r>
      <w:proofErr w:type="spellEnd"/>
      <w:r w:rsidRPr="00C319F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proofErr w:type="gramStart"/>
      <w:r w:rsidRPr="00C319F1">
        <w:rPr>
          <w:rFonts w:asciiTheme="minorHAnsi" w:hAnsiTheme="minorHAnsi" w:cstheme="minorHAnsi"/>
          <w:b/>
          <w:color w:val="000000" w:themeColor="text1"/>
        </w:rPr>
        <w:t>akan</w:t>
      </w:r>
      <w:proofErr w:type="spellEnd"/>
      <w:proofErr w:type="gramEnd"/>
      <w:r w:rsidRPr="00C319F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b/>
          <w:color w:val="000000" w:themeColor="text1"/>
        </w:rPr>
        <w:t>disentesiskan</w:t>
      </w:r>
      <w:proofErr w:type="spellEnd"/>
      <w:r w:rsidRPr="00C319F1">
        <w:rPr>
          <w:rFonts w:asciiTheme="minorHAnsi" w:hAnsiTheme="minorHAnsi" w:cstheme="minorHAnsi"/>
          <w:b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b/>
          <w:color w:val="000000" w:themeColor="text1"/>
        </w:rPr>
        <w:t>paragraf</w:t>
      </w:r>
      <w:proofErr w:type="spellEnd"/>
      <w:r w:rsidRPr="00C319F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b/>
          <w:color w:val="000000" w:themeColor="text1"/>
        </w:rPr>
        <w:t>tersebut</w:t>
      </w:r>
      <w:proofErr w:type="spellEnd"/>
      <w:r w:rsidRPr="00C319F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b/>
          <w:color w:val="000000" w:themeColor="text1"/>
        </w:rPr>
        <w:t>dapat</w:t>
      </w:r>
      <w:proofErr w:type="spellEnd"/>
      <w:r w:rsidRPr="00C319F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b/>
          <w:color w:val="000000" w:themeColor="text1"/>
        </w:rPr>
        <w:t>dinyatakan</w:t>
      </w:r>
      <w:proofErr w:type="spellEnd"/>
      <w:r w:rsidRPr="00C319F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b/>
          <w:color w:val="000000" w:themeColor="text1"/>
        </w:rPr>
        <w:t>sebagai</w:t>
      </w:r>
      <w:proofErr w:type="spellEnd"/>
      <w:r w:rsidRPr="00C319F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b/>
          <w:color w:val="000000" w:themeColor="text1"/>
        </w:rPr>
        <w:t>berikut</w:t>
      </w:r>
      <w:proofErr w:type="spellEnd"/>
      <w:r w:rsidRPr="00C319F1">
        <w:rPr>
          <w:rFonts w:asciiTheme="minorHAnsi" w:hAnsiTheme="minorHAnsi" w:cstheme="minorHAnsi"/>
          <w:b/>
          <w:color w:val="000000" w:themeColor="text1"/>
        </w:rPr>
        <w:t>:</w:t>
      </w:r>
    </w:p>
    <w:p w:rsidR="00C319F1" w:rsidRPr="00C319F1" w:rsidRDefault="00C319F1" w:rsidP="00C319F1">
      <w:pPr>
        <w:pStyle w:val="NormalWeb"/>
        <w:spacing w:line="276" w:lineRule="auto"/>
        <w:ind w:left="360"/>
        <w:contextualSpacing/>
        <w:rPr>
          <w:rFonts w:asciiTheme="minorHAnsi" w:hAnsiTheme="minorHAnsi" w:cstheme="minorHAnsi"/>
          <w:color w:val="000000" w:themeColor="text1"/>
        </w:rPr>
      </w:pP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Anak-anak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memperoleh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komponen-komponen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utama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bahasa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ibu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dalam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waktu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relatif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singkat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>.</w:t>
      </w:r>
      <w:proofErr w:type="gram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Mereka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mulai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memperoleh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bahasa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ketika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berumur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kurang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dari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satu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tahun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sebelum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dapat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mengucapkan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suatu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kata.</w:t>
      </w:r>
      <w:proofErr w:type="gram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Meskipun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belum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mampu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berbahasa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sebenarnya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mereka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berkomunikasi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memperhatikan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muka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orang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dewasa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meresponnya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>.</w:t>
      </w:r>
      <w:proofErr w:type="gram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Mereka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juga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dapat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membedakan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beberapa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ucapan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orang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dewasa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>.</w:t>
      </w:r>
      <w:proofErr w:type="gram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Selanjutnya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ketika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berumur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satu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tahun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bayi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mulai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mengoceh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bermain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bunyi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seperti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halnya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bermain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jari-jari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tangan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jari-jari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kakinya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>.</w:t>
      </w:r>
      <w:proofErr w:type="gram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Seperti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halnya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kemampuan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berjalan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kemampuan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berbicara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anak-anak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seluruh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dunia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mulai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pada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umur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hampir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sama</w:t>
      </w:r>
      <w:proofErr w:type="spellEnd"/>
      <w:proofErr w:type="gram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dengan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cara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yang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hampir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sama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pula. </w:t>
      </w:r>
      <w:proofErr w:type="spellStart"/>
      <w:proofErr w:type="gramStart"/>
      <w:r w:rsidRPr="00C319F1">
        <w:rPr>
          <w:rFonts w:asciiTheme="minorHAnsi" w:hAnsiTheme="minorHAnsi" w:cstheme="minorHAnsi"/>
          <w:color w:val="000000" w:themeColor="text1"/>
        </w:rPr>
        <w:t>Perkembangan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bahasa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pada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periode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ini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disebut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perkembangan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319F1">
        <w:rPr>
          <w:rFonts w:asciiTheme="minorHAnsi" w:hAnsiTheme="minorHAnsi" w:cstheme="minorHAnsi"/>
          <w:color w:val="000000" w:themeColor="text1"/>
        </w:rPr>
        <w:t>pralinguistik</w:t>
      </w:r>
      <w:proofErr w:type="spellEnd"/>
      <w:r w:rsidRPr="00C319F1">
        <w:rPr>
          <w:rFonts w:asciiTheme="minorHAnsi" w:hAnsiTheme="minorHAnsi" w:cstheme="minorHAnsi"/>
          <w:color w:val="000000" w:themeColor="text1"/>
        </w:rPr>
        <w:t xml:space="preserve"> (Gleason, 1985: 3).”</w:t>
      </w:r>
      <w:proofErr w:type="gramEnd"/>
    </w:p>
    <w:p w:rsidR="005A2103" w:rsidRPr="00C319F1" w:rsidRDefault="005A2103" w:rsidP="00C319F1">
      <w:pPr>
        <w:pStyle w:val="ListParagraph"/>
        <w:ind w:left="360"/>
        <w:rPr>
          <w:rFonts w:cstheme="minorHAnsi"/>
          <w:color w:val="000000" w:themeColor="text1"/>
          <w:sz w:val="24"/>
          <w:szCs w:val="24"/>
        </w:rPr>
      </w:pPr>
    </w:p>
    <w:p w:rsidR="00AE55AB" w:rsidRPr="00C319F1" w:rsidRDefault="00AE55AB" w:rsidP="00C319F1">
      <w:pPr>
        <w:pStyle w:val="ListParagraph"/>
        <w:numPr>
          <w:ilvl w:val="0"/>
          <w:numId w:val="5"/>
        </w:numPr>
        <w:ind w:left="360"/>
        <w:rPr>
          <w:rFonts w:cstheme="minorHAnsi"/>
          <w:color w:val="000000" w:themeColor="text1"/>
          <w:sz w:val="24"/>
          <w:szCs w:val="24"/>
        </w:rPr>
      </w:pPr>
      <w:r w:rsidRPr="00C319F1">
        <w:rPr>
          <w:rFonts w:cstheme="minorHAnsi"/>
          <w:color w:val="000000" w:themeColor="text1"/>
          <w:sz w:val="24"/>
          <w:szCs w:val="24"/>
        </w:rPr>
        <w:t xml:space="preserve">Di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Lampung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sendiri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kejadian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luar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biasa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(KLB)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dikarenakan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diare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pada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tahun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2010,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cukup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rendah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yaitu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hanya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2</w:t>
      </w:r>
      <w:proofErr w:type="gramStart"/>
      <w:r w:rsidRPr="00C319F1">
        <w:rPr>
          <w:rFonts w:cstheme="minorHAnsi"/>
          <w:color w:val="000000" w:themeColor="text1"/>
          <w:sz w:val="24"/>
          <w:szCs w:val="24"/>
        </w:rPr>
        <w:t>,18</w:t>
      </w:r>
      <w:proofErr w:type="gram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persen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per 1000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balita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. Akan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tetapi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jika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dibandingkan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dengan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Sumatera Selatan,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Lampung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masih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tertinggal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Angka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terjadinya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diare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di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Sumatera Selatan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hanya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1</w:t>
      </w:r>
      <w:proofErr w:type="gramStart"/>
      <w:r w:rsidRPr="00C319F1">
        <w:rPr>
          <w:rFonts w:cstheme="minorHAnsi"/>
          <w:color w:val="000000" w:themeColor="text1"/>
          <w:sz w:val="24"/>
          <w:szCs w:val="24"/>
        </w:rPr>
        <w:t>,05</w:t>
      </w:r>
      <w:proofErr w:type="gram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persen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per 1000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balita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Urutan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pertama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terjadinya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KLB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diare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adalah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Nusa Tenggara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Timur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(NTT)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yaitu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18</w:t>
      </w:r>
      <w:proofErr w:type="gramStart"/>
      <w:r w:rsidRPr="00C319F1">
        <w:rPr>
          <w:rFonts w:cstheme="minorHAnsi"/>
          <w:color w:val="000000" w:themeColor="text1"/>
          <w:sz w:val="24"/>
          <w:szCs w:val="24"/>
        </w:rPr>
        <w:t>,84</w:t>
      </w:r>
      <w:proofErr w:type="gram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persen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per 1000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balita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(Dimas, 2010). Dari data di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atas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dapat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disimpulkan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bahwa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terjadinya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diare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di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Lampung,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cukup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rendah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jika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dibandingkan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dengan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NTT, 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fldChar w:fldCharType="begin"/>
      </w:r>
      <w:r w:rsidRPr="00C319F1">
        <w:rPr>
          <w:rFonts w:cstheme="minorHAnsi"/>
          <w:color w:val="000000" w:themeColor="text1"/>
          <w:sz w:val="24"/>
          <w:szCs w:val="24"/>
        </w:rPr>
        <w:instrText xml:space="preserve"> HYPERLINK "https://muhaz.org/tarekat-tasawuf.html" </w:instrText>
      </w:r>
      <w:r w:rsidRPr="00C319F1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C319F1">
        <w:rPr>
          <w:rStyle w:val="Hyperlink"/>
          <w:rFonts w:cstheme="minorHAnsi"/>
          <w:color w:val="000000" w:themeColor="text1"/>
          <w:sz w:val="24"/>
          <w:szCs w:val="24"/>
        </w:rPr>
        <w:t>akan</w:t>
      </w:r>
      <w:proofErr w:type="spellEnd"/>
      <w:r w:rsidRPr="00C319F1">
        <w:rPr>
          <w:rStyle w:val="Hyperlink"/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Style w:val="Hyperlink"/>
          <w:rFonts w:cstheme="minorHAnsi"/>
          <w:color w:val="000000" w:themeColor="text1"/>
          <w:sz w:val="24"/>
          <w:szCs w:val="24"/>
        </w:rPr>
        <w:t>tetapi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fldChar w:fldCharType="end"/>
      </w:r>
      <w:r w:rsidRPr="00C319F1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jika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dibandingkan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dengan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Sumatera Selatan,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maka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Lampung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masih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cukup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tertinggal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>.”</w:t>
      </w:r>
      <w:r w:rsidRPr="00C319F1">
        <w:rPr>
          <w:rFonts w:cstheme="minorHAnsi"/>
          <w:color w:val="000000" w:themeColor="text1"/>
          <w:sz w:val="24"/>
          <w:szCs w:val="24"/>
        </w:rPr>
        <w:br/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Paragraf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di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atas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terdiri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atas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C319F1">
        <w:rPr>
          <w:rFonts w:cstheme="minorHAnsi"/>
          <w:color w:val="000000" w:themeColor="text1"/>
          <w:sz w:val="24"/>
          <w:szCs w:val="24"/>
        </w:rPr>
        <w:t>lima</w:t>
      </w:r>
      <w:proofErr w:type="gram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Tampak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bahwa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penulis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hanya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memindahkan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tanpa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memadukan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informasi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satu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sampai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dengan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empat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berasal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dari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satu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sumber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kelima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merupakan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simpulan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dari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empat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sebelumnya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Sebenarnya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empat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sebelumnya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sudah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menunjukkan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urutan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mengandung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satu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topik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atau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pokok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bahasan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tentang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peringkat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KLB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diare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pada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tiga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Namun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pernyataan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pada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empat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di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atas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masih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tampak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mengulang-ulang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tidak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dinyatakan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dalam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efektif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>.</w:t>
      </w:r>
      <w:r w:rsidRPr="00C319F1">
        <w:rPr>
          <w:rFonts w:cstheme="minorHAnsi"/>
          <w:color w:val="000000" w:themeColor="text1"/>
          <w:sz w:val="24"/>
          <w:szCs w:val="24"/>
        </w:rPr>
        <w:br/>
      </w:r>
      <w:r w:rsidRPr="00C319F1">
        <w:rPr>
          <w:rFonts w:cstheme="minorHAnsi"/>
          <w:color w:val="000000" w:themeColor="text1"/>
          <w:sz w:val="24"/>
          <w:szCs w:val="24"/>
        </w:rPr>
        <w:lastRenderedPageBreak/>
        <w:br/>
      </w:r>
      <w:proofErr w:type="spellStart"/>
      <w:r w:rsidRPr="00C319F1">
        <w:rPr>
          <w:rFonts w:cstheme="minorHAnsi"/>
          <w:b/>
          <w:color w:val="000000" w:themeColor="text1"/>
          <w:sz w:val="24"/>
          <w:szCs w:val="24"/>
        </w:rPr>
        <w:t>Ji</w:t>
      </w:r>
      <w:r w:rsidRPr="00C319F1">
        <w:rPr>
          <w:rFonts w:cstheme="minorHAnsi"/>
          <w:b/>
          <w:color w:val="000000" w:themeColor="text1"/>
          <w:sz w:val="24"/>
          <w:szCs w:val="24"/>
        </w:rPr>
        <w:t>ka</w:t>
      </w:r>
      <w:proofErr w:type="spellEnd"/>
      <w:r w:rsidRPr="00C319F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b/>
          <w:color w:val="000000" w:themeColor="text1"/>
          <w:sz w:val="24"/>
          <w:szCs w:val="24"/>
        </w:rPr>
        <w:t>akan</w:t>
      </w:r>
      <w:proofErr w:type="spellEnd"/>
      <w:r w:rsidRPr="00C319F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b/>
          <w:color w:val="000000" w:themeColor="text1"/>
          <w:sz w:val="24"/>
          <w:szCs w:val="24"/>
        </w:rPr>
        <w:t>disentesiskan</w:t>
      </w:r>
      <w:proofErr w:type="spellEnd"/>
      <w:r w:rsidRPr="00C319F1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proofErr w:type="spellStart"/>
      <w:r w:rsidRPr="00C319F1">
        <w:rPr>
          <w:rFonts w:cstheme="minorHAnsi"/>
          <w:b/>
          <w:color w:val="000000" w:themeColor="text1"/>
          <w:sz w:val="24"/>
          <w:szCs w:val="24"/>
        </w:rPr>
        <w:t>paragraf</w:t>
      </w:r>
      <w:proofErr w:type="spellEnd"/>
      <w:r w:rsidRPr="00C319F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b/>
          <w:color w:val="000000" w:themeColor="text1"/>
          <w:sz w:val="24"/>
          <w:szCs w:val="24"/>
        </w:rPr>
        <w:t>tersebut</w:t>
      </w:r>
      <w:proofErr w:type="spellEnd"/>
      <w:r w:rsidRPr="00C319F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b/>
          <w:color w:val="000000" w:themeColor="text1"/>
          <w:sz w:val="24"/>
          <w:szCs w:val="24"/>
        </w:rPr>
        <w:t>dapat</w:t>
      </w:r>
      <w:proofErr w:type="spellEnd"/>
      <w:r w:rsidRPr="00C319F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b/>
          <w:color w:val="000000" w:themeColor="text1"/>
          <w:sz w:val="24"/>
          <w:szCs w:val="24"/>
        </w:rPr>
        <w:t>dinyatakan</w:t>
      </w:r>
      <w:proofErr w:type="spellEnd"/>
      <w:r w:rsidRPr="00C319F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b/>
          <w:color w:val="000000" w:themeColor="text1"/>
          <w:sz w:val="24"/>
          <w:szCs w:val="24"/>
        </w:rPr>
        <w:t>sebagai</w:t>
      </w:r>
      <w:proofErr w:type="spellEnd"/>
      <w:r w:rsidRPr="00C319F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b/>
          <w:color w:val="000000" w:themeColor="text1"/>
          <w:sz w:val="24"/>
          <w:szCs w:val="24"/>
        </w:rPr>
        <w:t>berikut</w:t>
      </w:r>
      <w:proofErr w:type="spellEnd"/>
      <w:r w:rsidR="005A2103" w:rsidRPr="00C319F1">
        <w:rPr>
          <w:rFonts w:cstheme="minorHAnsi"/>
          <w:b/>
          <w:color w:val="000000" w:themeColor="text1"/>
          <w:sz w:val="24"/>
          <w:szCs w:val="24"/>
        </w:rPr>
        <w:t>:</w:t>
      </w:r>
      <w:r w:rsidRPr="00C319F1">
        <w:rPr>
          <w:rFonts w:cstheme="minorHAnsi"/>
          <w:color w:val="000000" w:themeColor="text1"/>
          <w:sz w:val="24"/>
          <w:szCs w:val="24"/>
        </w:rPr>
        <w:br/>
        <w:t>“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Kejadian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luar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biasa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(KLB)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diare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di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Lampung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pada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tahun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2010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cukup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rendah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yaitu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2,18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persen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per 1.000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daripada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Nusa Tenggara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Timur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(NTT)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yaitu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18,84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persen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. Akan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tetapi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jika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dibandingkan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dengan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Sumatera Selatan,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Lampung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masih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tertinggal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karena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angka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KLB di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provinsi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tersebut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hanya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1</w:t>
      </w:r>
      <w:proofErr w:type="gramStart"/>
      <w:r w:rsidRPr="00C319F1">
        <w:rPr>
          <w:rFonts w:cstheme="minorHAnsi"/>
          <w:color w:val="000000" w:themeColor="text1"/>
          <w:sz w:val="24"/>
          <w:szCs w:val="24"/>
        </w:rPr>
        <w:t>,05</w:t>
      </w:r>
      <w:proofErr w:type="gram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persen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per 1.000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balita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(Dimas, 2010).”</w:t>
      </w:r>
      <w:r w:rsidRPr="00C319F1">
        <w:rPr>
          <w:rFonts w:cstheme="minorHAnsi"/>
          <w:color w:val="000000" w:themeColor="text1"/>
          <w:sz w:val="24"/>
          <w:szCs w:val="24"/>
        </w:rPr>
        <w:br/>
      </w:r>
      <w:proofErr w:type="spellStart"/>
      <w:proofErr w:type="gramStart"/>
      <w:r w:rsidRPr="00C319F1">
        <w:rPr>
          <w:rFonts w:cstheme="minorHAnsi"/>
          <w:color w:val="000000" w:themeColor="text1"/>
          <w:sz w:val="24"/>
          <w:szCs w:val="24"/>
        </w:rPr>
        <w:t>Bila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dicermati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secara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saksama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paragraf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ini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berbeda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dengan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paragraf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sebelumnya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>.</w:t>
      </w:r>
      <w:proofErr w:type="gram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Paragraf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sebelumnya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terdiri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atas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C319F1">
        <w:rPr>
          <w:rFonts w:cstheme="minorHAnsi"/>
          <w:color w:val="000000" w:themeColor="text1"/>
          <w:sz w:val="24"/>
          <w:szCs w:val="24"/>
        </w:rPr>
        <w:t>lima</w:t>
      </w:r>
      <w:proofErr w:type="gram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sedangkan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paragran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yang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sudah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disentesiskan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hanya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terdiri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atas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tiga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Jadi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terdapat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penghematan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dua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kalimat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penyintesisan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ini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tidak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mengubah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makna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319F1">
        <w:rPr>
          <w:rFonts w:cstheme="minorHAnsi"/>
          <w:color w:val="000000" w:themeColor="text1"/>
          <w:sz w:val="24"/>
          <w:szCs w:val="24"/>
        </w:rPr>
        <w:t>sama</w:t>
      </w:r>
      <w:proofErr w:type="spellEnd"/>
      <w:proofErr w:type="gram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sekali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dari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paragraf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319F1">
        <w:rPr>
          <w:rFonts w:cstheme="minorHAnsi"/>
          <w:color w:val="000000" w:themeColor="text1"/>
          <w:sz w:val="24"/>
          <w:szCs w:val="24"/>
        </w:rPr>
        <w:t>sebelumnya</w:t>
      </w:r>
      <w:proofErr w:type="spellEnd"/>
      <w:r w:rsidRPr="00C319F1">
        <w:rPr>
          <w:rFonts w:cstheme="minorHAnsi"/>
          <w:color w:val="000000" w:themeColor="text1"/>
          <w:sz w:val="24"/>
          <w:szCs w:val="24"/>
        </w:rPr>
        <w:t>.</w:t>
      </w:r>
    </w:p>
    <w:p w:rsidR="005A2103" w:rsidRPr="00C319F1" w:rsidRDefault="005A2103" w:rsidP="00C319F1">
      <w:pPr>
        <w:pStyle w:val="ListParagraph"/>
        <w:ind w:left="360"/>
        <w:rPr>
          <w:rFonts w:cstheme="minorHAnsi"/>
          <w:color w:val="000000" w:themeColor="text1"/>
          <w:sz w:val="24"/>
          <w:szCs w:val="24"/>
        </w:rPr>
      </w:pPr>
    </w:p>
    <w:sectPr w:rsidR="005A2103" w:rsidRPr="00C3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50E81"/>
    <w:multiLevelType w:val="hybridMultilevel"/>
    <w:tmpl w:val="69E03800"/>
    <w:lvl w:ilvl="0" w:tplc="D394783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F08CB"/>
    <w:multiLevelType w:val="hybridMultilevel"/>
    <w:tmpl w:val="F14203AA"/>
    <w:lvl w:ilvl="0" w:tplc="111226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D396C"/>
    <w:multiLevelType w:val="hybridMultilevel"/>
    <w:tmpl w:val="B78C2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27A0F"/>
    <w:multiLevelType w:val="hybridMultilevel"/>
    <w:tmpl w:val="BDC832E0"/>
    <w:lvl w:ilvl="0" w:tplc="EF2E5C5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41773"/>
    <w:multiLevelType w:val="hybridMultilevel"/>
    <w:tmpl w:val="751C47DC"/>
    <w:lvl w:ilvl="0" w:tplc="DF7EA28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BB"/>
    <w:rsid w:val="000825E2"/>
    <w:rsid w:val="001345BB"/>
    <w:rsid w:val="005A2103"/>
    <w:rsid w:val="00787A15"/>
    <w:rsid w:val="009308A7"/>
    <w:rsid w:val="00AE55AB"/>
    <w:rsid w:val="00C3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5A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55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5A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55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738">
          <w:marLeft w:val="432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80145732">
          <w:marLeft w:val="432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06120587">
          <w:marLeft w:val="432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697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2020-12-28T04:22:00Z</dcterms:created>
  <dcterms:modified xsi:type="dcterms:W3CDTF">2020-12-28T05:34:00Z</dcterms:modified>
</cp:coreProperties>
</file>