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p>
    <w:p>
      <w:pPr>
        <w:pStyle w:val="style0"/>
        <w:jc w:val="center"/>
        <w:rPr>
          <w:rFonts w:ascii="Times NR MT Pro" w:cs="Times NR MT Pro" w:eastAsia="Times NR MT Pro" w:hAnsi="Times NR MT Pro"/>
          <w:b/>
          <w:bCs/>
          <w:lang w:val="en-US"/>
        </w:rPr>
      </w:pPr>
      <w:r>
        <w:rPr>
          <w:rFonts w:ascii="Times NR MT Pro" w:cs="Times NR MT Pro" w:eastAsia="Times NR MT Pro" w:hAnsi="Times NR MT Pro"/>
          <w:b/>
          <w:bCs/>
          <w:lang w:val="en-US"/>
        </w:rPr>
        <w:t>ANALISIS SOAL</w:t>
      </w:r>
    </w:p>
    <w:p>
      <w:pPr>
        <w:pStyle w:val="style0"/>
        <w:jc w:val="center"/>
        <w:rPr>
          <w:rFonts w:ascii="Times NR MT Pro" w:cs="Times NR MT Pro" w:eastAsia="Times NR MT Pro" w:hAnsi="Times NR MT Pro"/>
          <w:b/>
          <w:bCs/>
          <w:lang w:val="en-US"/>
        </w:rPr>
      </w:pP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MATA KULIAH: PANCASILA</w:t>
      </w: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PROGRAM STUDI: S1 PGSD</w:t>
      </w: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SEMESTER/KELAS: 1/G</w:t>
      </w: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DOSEN PENGAMPU: ROY KEMBAR HABIBI, M.Pd</w:t>
      </w:r>
    </w:p>
    <w:p>
      <w:pPr>
        <w:pStyle w:val="style0"/>
        <w:jc w:val="center"/>
        <w:rPr>
          <w:rFonts w:ascii="Times NR MT Pro" w:cs="Times NR MT Pro" w:eastAsia="Times NR MT Pro" w:hAnsi="Times NR MT Pro"/>
          <w:b w:val="false"/>
          <w:bCs w:val="false"/>
          <w:lang w:val="en-US"/>
        </w:rPr>
      </w:pPr>
    </w:p>
    <w:p>
      <w:pPr>
        <w:pStyle w:val="style0"/>
        <w:jc w:val="center"/>
        <w:rPr>
          <w:rFonts w:ascii="Times NR MT Pro" w:cs="Times NR MT Pro" w:eastAsia="Times NR MT Pro" w:hAnsi="Times NR MT Pro"/>
          <w:b w:val="false"/>
          <w:bCs w:val="false"/>
          <w:lang w:val="en-US"/>
        </w:rPr>
      </w:pPr>
      <w:r>
        <w:rPr/>
        <w:drawing>
          <wp:inline distL="114300" distT="0" distB="0" distR="114300">
            <wp:extent cx="2381213" cy="234311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381213" cy="2343114"/>
                    </a:xfrm>
                    <a:prstGeom prst="rect"/>
                  </pic:spPr>
                </pic:pic>
              </a:graphicData>
            </a:graphic>
          </wp:inline>
        </w:drawing>
      </w:r>
    </w:p>
    <w:p>
      <w:pPr>
        <w:pStyle w:val="style0"/>
        <w:jc w:val="center"/>
        <w:rPr>
          <w:rFonts w:ascii="Times NR MT Pro" w:cs="Times NR MT Pro" w:eastAsia="Times NR MT Pro" w:hAnsi="Times NR MT Pro"/>
          <w:b w:val="false"/>
          <w:bCs w:val="false"/>
          <w:lang w:val="en-US"/>
        </w:rPr>
      </w:pP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NAMA: Risma Calista Putri</w:t>
      </w:r>
    </w:p>
    <w:p>
      <w:pPr>
        <w:pStyle w:val="style0"/>
        <w:jc w:val="center"/>
        <w:rPr>
          <w:rFonts w:ascii="Times NR MT Pro" w:cs="Times NR MT Pro" w:eastAsia="Times NR MT Pro" w:hAnsi="Times NR MT Pro"/>
          <w:b w:val="false"/>
          <w:bCs w:val="false"/>
          <w:lang w:val="en-US"/>
        </w:rPr>
      </w:pPr>
      <w:r>
        <w:rPr>
          <w:rFonts w:ascii="Times NR MT Pro" w:cs="Times NR MT Pro" w:eastAsia="Times NR MT Pro" w:hAnsi="Times NR MT Pro"/>
          <w:b w:val="false"/>
          <w:bCs w:val="false"/>
          <w:lang w:val="en-US"/>
        </w:rPr>
        <w:t>NPM: 2513053179</w:t>
      </w:r>
    </w:p>
    <w:p>
      <w:pPr>
        <w:pStyle w:val="style0"/>
        <w:jc w:val="center"/>
        <w:rPr>
          <w:rFonts w:ascii="Times NR MT Pro" w:cs="Times NR MT Pro" w:eastAsia="Times NR MT Pro" w:hAnsi="Times NR MT Pro"/>
          <w:b w:val="false"/>
          <w:bCs w:val="false"/>
          <w:lang w:val="en-US"/>
        </w:rPr>
      </w:pPr>
    </w:p>
    <w:p>
      <w:pPr>
        <w:pStyle w:val="style0"/>
        <w:jc w:val="center"/>
        <w:rPr>
          <w:rFonts w:ascii="Times NR MT Pro" w:cs="Times NR MT Pro" w:eastAsia="Times NR MT Pro" w:hAnsi="Times NR MT Pro"/>
          <w:b/>
          <w:bCs/>
          <w:lang w:val="en-US"/>
        </w:rPr>
      </w:pPr>
      <w:r>
        <w:rPr>
          <w:rFonts w:ascii="Times NR MT Pro" w:cs="Times NR MT Pro" w:eastAsia="Times NR MT Pro" w:hAnsi="Times NR MT Pro"/>
          <w:b/>
          <w:bCs/>
          <w:lang w:val="en-US"/>
        </w:rPr>
        <w:t>PROGRAM STUDI PENDIDIKAN GURU SEKOLAH DASAR</w:t>
      </w:r>
    </w:p>
    <w:p>
      <w:pPr>
        <w:pStyle w:val="style0"/>
        <w:jc w:val="center"/>
        <w:rPr>
          <w:rFonts w:ascii="Times NR MT Pro" w:cs="Times NR MT Pro" w:eastAsia="Times NR MT Pro" w:hAnsi="Times NR MT Pro"/>
          <w:b/>
          <w:bCs/>
          <w:lang w:val="en-US"/>
        </w:rPr>
      </w:pPr>
      <w:r>
        <w:rPr>
          <w:rFonts w:ascii="Times NR MT Pro" w:cs="Times NR MT Pro" w:eastAsia="Times NR MT Pro" w:hAnsi="Times NR MT Pro"/>
          <w:b/>
          <w:bCs/>
          <w:lang w:val="en-US"/>
        </w:rPr>
        <w:t>FAKULTAS KEGURUAN DAN ILMU PENDIDIKAN</w:t>
      </w:r>
    </w:p>
    <w:p>
      <w:pPr>
        <w:pStyle w:val="style0"/>
        <w:jc w:val="center"/>
        <w:rPr>
          <w:rFonts w:ascii="Times NR MT Pro" w:cs="Times NR MT Pro" w:eastAsia="Times NR MT Pro" w:hAnsi="Times NR MT Pro"/>
          <w:b/>
          <w:bCs/>
          <w:lang w:val="en-US"/>
        </w:rPr>
      </w:pPr>
      <w:r>
        <w:rPr>
          <w:rFonts w:ascii="Times NR MT Pro" w:cs="Times NR MT Pro" w:eastAsia="Times NR MT Pro" w:hAnsi="Times NR MT Pro"/>
          <w:b/>
          <w:bCs/>
          <w:lang w:val="en-US"/>
        </w:rPr>
        <w:t>UNIVERSITAS LAMPUNG</w:t>
      </w:r>
    </w:p>
    <w:p>
      <w:pPr>
        <w:pStyle w:val="style0"/>
        <w:jc w:val="center"/>
        <w:rPr>
          <w:rFonts w:ascii="Times NR MT Pro" w:cs="Times NR MT Pro" w:eastAsia="Times NR MT Pro" w:hAnsi="Times NR MT Pro"/>
          <w:b/>
          <w:bCs/>
          <w:lang w:val="en-US"/>
        </w:rPr>
      </w:pPr>
      <w:r>
        <w:rPr>
          <w:rFonts w:ascii="Times NR MT Pro" w:cs="Times NR MT Pro" w:eastAsia="Times NR MT Pro" w:hAnsi="Times NR MT Pro"/>
          <w:b/>
          <w:bCs/>
          <w:lang w:val="en-US"/>
        </w:rPr>
        <w:t>2025/2026</w:t>
      </w:r>
    </w:p>
    <w:p>
      <w:pPr>
        <w:pStyle w:val="style0"/>
        <w:jc w:val="center"/>
        <w:rPr>
          <w:b/>
          <w:bCs/>
          <w:lang w:val="en-US"/>
        </w:rPr>
      </w:pPr>
    </w:p>
    <w:p>
      <w:pPr>
        <w:pStyle w:val="style0"/>
        <w:rPr>
          <w:b/>
          <w:bCs/>
        </w:rPr>
      </w:pPr>
      <w:r>
        <w:rPr>
          <w:b/>
          <w:bCs/>
          <w:lang w:val="en-US"/>
        </w:rPr>
        <w:t>analisis soal</w:t>
      </w:r>
    </w:p>
    <w:p>
      <w:pPr>
        <w:pStyle w:val="style0"/>
        <w:rPr>
          <w:b/>
          <w:bCs/>
        </w:rPr>
      </w:pPr>
      <w:r>
        <w:rPr>
          <w:b/>
          <w:bCs/>
          <w:lang w:val="en-US"/>
        </w:rPr>
        <w:t>1. Bagaimanakah sistem etika perilaku politik saat ini? Sudah sesuaikah dengan nilai-nilai Pancasila? Jelaskan!</w:t>
      </w:r>
    </w:p>
    <w:p>
      <w:pPr>
        <w:pStyle w:val="style0"/>
        <w:rPr>
          <w:b w:val="false"/>
          <w:bCs w:val="false"/>
        </w:rPr>
      </w:pPr>
      <w:r>
        <w:rPr>
          <w:b w:val="false"/>
          <w:bCs w:val="false"/>
          <w:lang w:val="en-US"/>
        </w:rPr>
        <w:t xml:space="preserve">Sistem etika perilaku politik di Indonesia saat ini dibangun atas kombinasi aturan formal (perundang-undangan dan kode etik internal partai/penyelenggara), lembaga pengawas (seperti KPU, Bawaslu, DKPP untuk penyelenggara pemilu, dan KPK untuk tindak pidana korupsi) serta praktek sosial politik di lapangan. Secara formal ada kerangka aturan yang mengatur perilaku aktor politik: Undang-undang pemilu dan peraturan KPU mengatur tata kelola kampanye, DKPP mengembangkan indeks kepatuhan etika penyelenggara dan mekanisme pengawasan internal bagi penyelenggara pemilu, sementara KPK dan aparat penegak hukum menerapkan aturan antikorupsi dan menyorot praktik politik uang. Upaya pembakuan kode etik partai dan inisiatif untuk menyusun kode etik politisi kian mendapatkan perhatian sebagai pilar integritas, namun penerapan dan penegakan di lapangan masih sangat bergantung pada kapasitas lembaga dan tekanan publik. </w:t>
      </w:r>
    </w:p>
    <w:p>
      <w:pPr>
        <w:pStyle w:val="style0"/>
        <w:rPr>
          <w:b w:val="false"/>
          <w:bCs w:val="false"/>
        </w:rPr>
      </w:pPr>
      <w:r>
        <w:rPr>
          <w:b w:val="false"/>
          <w:bCs w:val="false"/>
          <w:lang w:val="en-US"/>
        </w:rPr>
        <w:t>Meski kerangka formal ada, praktik etika politik sehari-hari menunjukkan beberapa masalah yang konsisten: politik uang (money politics), klientelisme, konflik kepentingan, penyalahgunaan sumber daya publik untuk kepentingan kampanye, serta personalisasi dan polarisasi politik. Penelitian dan laporan pasca-pemilu menunjukkan politik uang tetap menjadi fenomena sistemik yang melemahkan kualitas demokrasi karena mengubah hubungan wakil-pemilih menjadi transaksi, bukan representasi; faktor struktural seperti sistem pemilihan, tingkat pendidikan, dan tekanan ekonomi lokal turut memperkuat praktik ini. Upaya pencegahan dan penindakan terus dilakukan, tetapi politik uang sulit diberantas karena ia terjalin dengan bentuk patronase lokal dan insentif politik jangka pendek.</w:t>
      </w:r>
    </w:p>
    <w:p>
      <w:pPr>
        <w:pStyle w:val="style0"/>
        <w:rPr>
          <w:b w:val="false"/>
          <w:bCs w:val="false"/>
        </w:rPr>
      </w:pPr>
      <w:r>
        <w:rPr>
          <w:b w:val="false"/>
          <w:bCs w:val="false"/>
          <w:lang w:val="en-US"/>
        </w:rPr>
        <w:t>Isu etika politik juga sangat dipengaruhi oleh era digital: disinformasi, operasi pengaruh (influence operations), dan praktik manipulasi opini melalui media sosial adalah ancaman nyata terhadap etika proses politik. Platform digital mempercepat penyebaran narasi palsu, memperkuat sentimen identitas, dan memungkinkan kampanye mikro yang menargetkan kerentanan kelompok tertentu. Studi terkini menunjukkan bahwa kerentanan ini—ditambah dengan algoritma yang mengutamakan keterlibatan—mengakibatkan degradasi kualitas wacana publik dan mempersulit pembentukan konsensus rasional yang menjadi landasan etika publik. Regulasi media dan upaya verifikasi meningkat, tetapi celah teknis dan kapasitas pengawasan masih membuat wilayah ini rawan.</w:t>
      </w:r>
    </w:p>
    <w:p>
      <w:pPr>
        <w:pStyle w:val="style0"/>
        <w:rPr>
          <w:b w:val="false"/>
          <w:bCs w:val="false"/>
        </w:rPr>
      </w:pPr>
      <w:r>
        <w:rPr>
          <w:b w:val="false"/>
          <w:bCs w:val="false"/>
          <w:lang w:val="en-US"/>
        </w:rPr>
        <w:t>Dari sisi kelembagaan, ada kemajuan normatif dan alat ukur untuk memantau etika penyelenggara dan pejabat, misalnya inisiatif Indeks Kepatuhan Etika Penyelenggara Pemilu (IKEPP) dan program aktualisasi nilai Pancasila oleh BPIP. Namun keberadaan indikator dan laporan tidak otomatis menjamin perubahan perilaku: masih dibutuhkan pelembagaan internal yang kuat di partai politik, penegakan hukum yang konsisten, serta mekanisme sanksi yang efektif dan transparan agar norma beretika menjadi costlier untuk dilanggar. Tanpa konsistensi penegakan, kode etik berisiko menjadi simbolik saja.</w:t>
      </w:r>
    </w:p>
    <w:p>
      <w:pPr>
        <w:pStyle w:val="style0"/>
        <w:rPr>
          <w:b w:val="false"/>
          <w:bCs w:val="false"/>
        </w:rPr>
      </w:pPr>
      <w:r>
        <w:rPr>
          <w:b w:val="false"/>
          <w:bCs w:val="false"/>
          <w:lang w:val="en-US"/>
        </w:rPr>
        <w:t xml:space="preserve">Jika diukur terhadap nilai-nilai Pancasila, realitas etika politik menunjukkan kecocokan sebagian dan ketidaksesuaian signifikan di beberapa dimensi. Pada sila pertama (Ketuhanan Yang Maha Esa) dan sila kedua (Kemanusiaan yang Adil dan Beradab), masih terdapat pelanggaran etika ketika diskursus politik memakai retorika yang merendahkan kelompok lain, menyebarkan fitnah, atau mengeksploitasi sentimen agama untuk keuntungan elektoral—praktik yang bertentangan dengan penghormatan martabat manusia dan toleransi beragama yang dijunjung Pancasila. Pada sila ketiga (Persatuan Indonesia), polarisasi dan politik identitas melemahkan upaya persatuan karena kampanye yang memecah-belah dan narasi yang mengotomatisasi ‘kami versus mereka’. Pada sila keempat (Kerakyatan yang Dipimpin oleh Hikmat Kebijaksanaan dalam Permusyawaratan/Perwakilan), praktik politik uang dan klientelisme mengikis prinsip representasi rakyat yang sejati dan musyawarah yang penuh hikmat karena keputusan politik dapat dipengaruhi oleh kepentingan transaksional. Pada sila kelima (Keadilan Sosial bagi Seluruh Rakyat Indonesia), korupsi dan penyalahgunaan anggaran publik justru menegasikan upaya pemerataan dan keadilan distributif; sumber daya publik yang seharusnya untuk kesejahteraan publik terkikis oleh perilaku tak etis sebagian elite politik. Singkatnya, ada ketidaksesuaian nyata antara banyak praktik politik aktual dan ideal Pancasila; beberapa aspek etika politik sesuai secara formal, tetapi implementasi nyata masih jauh dari ideal. </w:t>
      </w:r>
    </w:p>
    <w:p>
      <w:pPr>
        <w:pStyle w:val="style0"/>
        <w:rPr>
          <w:b w:val="false"/>
          <w:bCs w:val="false"/>
        </w:rPr>
      </w:pPr>
      <w:r>
        <w:rPr>
          <w:b w:val="false"/>
          <w:bCs w:val="false"/>
          <w:lang w:val="en-US"/>
        </w:rPr>
        <w:t>Penyebab ketidaksesuaian itu bersifat multifaktorial: struktur insentif politik yang memberi keuntungan pada praktik transaksional, lemahnya pengawasan internal partai, ketidaklengkapan regulasi terhadap praktik digital, kapasitas penegakan hukum yang variatif, serta rendahnya literasi politik publik yang membuat pemilih rentan pada iming-iming materi dan informasi menyesatkan. Selain itu, budaya politik lokal yang toleran terhadap patronase dan jaringan sosial yang mengikat elite politik dengan kepentingan ekonomi memperkuat norma informal yang bertolak belakang dengan etika Pancasila. Oleh karena itu, perubahan hanya dengan peraturan saja tidak cukup; perlu perubahan budaya dan institusi secara bersamaan.</w:t>
      </w:r>
    </w:p>
    <w:p>
      <w:pPr>
        <w:pStyle w:val="style0"/>
        <w:rPr>
          <w:b w:val="false"/>
          <w:bCs w:val="false"/>
        </w:rPr>
      </w:pPr>
      <w:r>
        <w:rPr>
          <w:b w:val="false"/>
          <w:bCs w:val="false"/>
          <w:lang w:val="en-US"/>
        </w:rPr>
        <w:t xml:space="preserve">Langkah transformasional agar etika politik lebih sesuai dengan Pancasila harus mencakup tindakan simultan: memperkuat pendidikan Pancasila dan etika politik di semua jenjang pendidikan serta pelatihan kader partai; memperbaiki desain pemilu dan aturan pendanaan politik untuk mengurangi insentif politik uang; memperkuat mekanisme internal partai (kode etik yang nyata, sanksi internal) dan mekanisme eksternal (penegakan hukum independen, transparansi keuangan); mengatur ruang digital dengan pendekatan berbasis bukti untuk menekan disinformasi tanpa membatasi kebebasan berekspresi; serta meningkatkan keterlibatan masyarakat sipil dan media yang etis sebagai kontrol sosial. Kombinasi langkah preventif (pendidikan, regulasi), kuratif (penegakan hukum, sanksi), dan struktural (reformasi sistem pendanaan politik dan desain institusional) diperlukan agar etika politik berubah dari simbol menjadi praktik. </w:t>
      </w:r>
    </w:p>
    <w:p>
      <w:pPr>
        <w:pStyle w:val="style0"/>
        <w:rPr>
          <w:b w:val="false"/>
          <w:bCs w:val="false"/>
        </w:rPr>
      </w:pPr>
    </w:p>
    <w:p>
      <w:pPr>
        <w:pStyle w:val="style0"/>
        <w:rPr>
          <w:b/>
          <w:bCs/>
        </w:rPr>
      </w:pPr>
      <w:r>
        <w:rPr>
          <w:b/>
          <w:bCs/>
          <w:lang w:val="en-US"/>
        </w:rPr>
        <w:t>2. Etika selalu terkait dengan masalah nilai sehingga perbincangan tentang etika, pada umumnya membicarakan tentang masalah nilai (baik atau buruk). Bagaimanakah etika generasi muda yang ada di sekitar tempat tinggal mu? Apakah mencerminkan etika dan nilai yang dianut oleh bangsa Indonesia? Berikan solusi mengenai adanya dekadensi moral yang saat ini terjadi !</w:t>
      </w:r>
    </w:p>
    <w:p>
      <w:pPr>
        <w:pStyle w:val="style0"/>
        <w:rPr>
          <w:b w:val="false"/>
          <w:bCs w:val="false"/>
        </w:rPr>
      </w:pPr>
      <w:r>
        <w:rPr>
          <w:b w:val="false"/>
          <w:bCs w:val="false"/>
          <w:lang w:val="en-US"/>
        </w:rPr>
        <w:t>Etika generasi muda di lingkungan sekitar saat ini menunjukkan dinamika yang kompleks. Di satu sisi, banyak anak muda yang memiliki semangat tinggi untuk berkembang, berpikir kritis, serta peduli terhadap isu-isu sosial dan lingkungan. Mereka mulai aktif dalam kegiatan kewirausahaan, organisasi sosial, hingga gerakan digital yang membawa perubahan positif. Hal ini menunjukkan bahwa sebagian generasi muda memiliki kesadaran moral dan tanggung jawab sosial yang baik, sesuai dengan nilai-nilai Pancasila seperti semangat gotong royong, kepedulian sesama, dan rasa cinta tanah air. Namun, di sisi lain, tidak sedikit pula generasi muda yang mengalami kemerosotan etika atau dekadensi moral, yang ditandai dengan menurunnya nilai sopan santun, kurangnya rasa hormat terhadap orang tua dan guru, serta meningkatnya perilaku menyimpang seperti bullying, pergaulan bebas, penyalahgunaan teknologi, dan budaya hedonis.</w:t>
      </w:r>
    </w:p>
    <w:p>
      <w:pPr>
        <w:pStyle w:val="style0"/>
        <w:rPr>
          <w:b w:val="false"/>
          <w:bCs w:val="false"/>
        </w:rPr>
      </w:pPr>
      <w:r>
        <w:rPr>
          <w:b w:val="false"/>
          <w:bCs w:val="false"/>
          <w:lang w:val="en-US"/>
        </w:rPr>
        <w:t>Fenomena ini terjadi karena berbagai faktor. Pertama, pengaruh globalisasi dan kemajuan teknologi digital membuat anak muda mudah terpapar budaya luar yang tidak selalu sesuai dengan nilai-nilai bangsa. Konten media sosial yang menonjolkan gaya hidup instan, kekerasan, serta perilaku tidak bermoral, sering kali diikuti tanpa penyaringan kritis. Kedua, lemahnya peran keluarga sebagai tempat pendidikan moral pertama membuat banyak anak tumbuh tanpa fondasi nilai yang kuat. Orang tua terkadang terlalu sibuk bekerja, sehingga kurang memberikan waktu dan perhatian untuk membimbing anak secara emosional dan spiritual. Ketiga, sistem pendidikan formal masih cenderung berorientasi pada capaian akademik, sementara pembinaan karakter dan etika sering kali dianggap sekunder. Keempat, lingkungan sosial yang permisif terhadap perilaku menyimpang juga memperparah keadaan, karena banyak anak muda belajar dari contoh buruk yang mereka lihat di sekitar mereka.</w:t>
      </w:r>
    </w:p>
    <w:p>
      <w:pPr>
        <w:pStyle w:val="style0"/>
        <w:rPr>
          <w:b w:val="false"/>
          <w:bCs w:val="false"/>
        </w:rPr>
      </w:pPr>
      <w:r>
        <w:rPr>
          <w:b w:val="false"/>
          <w:bCs w:val="false"/>
          <w:lang w:val="en-US"/>
        </w:rPr>
        <w:t>Jika dihubungkan dengan nilai-nilai Pancasila, kondisi ini menunjukkan bahwa etika sebagian generasi muda belum mencerminkan jati diri bangsa Indonesia secara utuh. Nilai Ketuhanan Yang Maha Esa sering kali diabaikan ketika mereka tidak menjadikan iman dan takwa sebagai landasan dalam bertindak. Nilai Kemanusiaan yang Adil dan Beradab belum tampak kuat, terlihat dari masih banyaknya perilaku tidak sopan, kekerasan verbal di media sosial, serta kurangnya empati terhadap sesama. Nilai Persatuan Indonesia mulai terkikis akibat munculnya individualisme dan kecenderungan mengutamakan diri sendiri. Nilai Kerakyatan yang Dipimpin oleh Hikmat Kebijaksanaan dalam Permusyawaratan/Perwakilan belum terwujud karena banyak generasi muda lebih senang menonjolkan ego daripada berdialog dengan bijak. Sementara nilai Keadilan Sosial bagi Seluruh Rakyat Indonesia belum dihayati secara mendalam, terlihat dari sikap acuh terhadap ketimpangan sosial di sekitar mereka.</w:t>
      </w:r>
    </w:p>
    <w:p>
      <w:pPr>
        <w:pStyle w:val="style0"/>
        <w:rPr>
          <w:b w:val="false"/>
          <w:bCs w:val="false"/>
        </w:rPr>
      </w:pPr>
      <w:r>
        <w:rPr>
          <w:b w:val="false"/>
          <w:bCs w:val="false"/>
          <w:lang w:val="en-US"/>
        </w:rPr>
        <w:t>Untuk mengatasi dekadensi moral generasi muda, diperlukan solusi yang menyeluruh dan berkelanjutan. Pertama, peran keluarga harus diperkuat sebagai pondasi utama pembentukan karakter. Orang tua perlu memberikan teladan nyata dalam kejujuran, tanggung jawab, kesopanan, dan spiritualitas. Pendidikan karakter tidak cukup diajarkan, tetapi harus dicontohkan dalam kehidupan sehari-hari. Kedua, sekolah perlu menyeimbangkan antara kecerdasan intelektual dan kecerdasan moral dengan memperkuat pendidikan Pancasila, budi pekerti, dan pembiasaan perilaku etis di lingkungan belajar. Guru harus berperan sebagai figur teladan, bukan hanya pengajar pengetahuan. Ketiga, masyarakat dan lingkungan sosial harus menjadi ruang yang mendukung tumbuhnya perilaku etis, misalnya dengan menghidupkan kembali budaya gotong royong, sopan santun, dan solidaritas antarwarga.</w:t>
      </w:r>
    </w:p>
    <w:p>
      <w:pPr>
        <w:pStyle w:val="style0"/>
        <w:rPr>
          <w:b w:val="false"/>
          <w:bCs w:val="false"/>
        </w:rPr>
      </w:pPr>
      <w:r>
        <w:rPr>
          <w:b w:val="false"/>
          <w:bCs w:val="false"/>
          <w:lang w:val="en-US"/>
        </w:rPr>
        <w:t>Keempat, pemerintah melalui lembaga seperti BPIP dan Kementerian Pendidikan perlu memperkuat kebijakan yang menanamkan nilai-nilai Pancasila dalam kurikulum, serta menciptakan ruang partisipasi positif bagi generasi muda, seperti program kepemudaan, pelatihan kepemimpinan, dan kegiatan sosial berbasis karakter. Kelima, generasi muda itu sendiri harus menyadari peran dan tanggung jawab moralnya sebagai penerus bangsa. Mereka perlu menanamkan sikap kritis terhadap arus budaya luar, menggunakan teknologi secara bijak, serta menjadikan nilai-nilai Pancasila sebagai pedoman moral dalam bertindak.</w:t>
      </w:r>
    </w:p>
    <w:p>
      <w:pPr>
        <w:pStyle w:val="style0"/>
        <w:rPr>
          <w:b w:val="false"/>
          <w:bCs w:val="false"/>
        </w:rPr>
      </w:pPr>
      <w:r>
        <w:rPr>
          <w:b w:val="false"/>
          <w:bCs w:val="false"/>
          <w:lang w:val="en-US"/>
        </w:rPr>
        <w:t>Dengan demikian, meskipun tantangan moral generasi muda di era modern sangat besar, masih terbuka peluang besar untuk membentuk generasi yang beretika, berkarakter, dan berjiwa Pancasila. Kuncinya terletak pada sinergi antara keluarga, sekolah, masyarakat, pemerintah, dan kesadaran diri generasi muda sendiri untuk menjadikan nilai-nilai Pancasila bukan hanya sebagai hafalan, tetapi sebagai pedoman hidup nyata dalam bersikap dan berperilaku di tengah perubahan zaman.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Times NR MT Pro">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1481</Words>
  <Characters>10212</Characters>
  <Application>WPS Office</Application>
  <Paragraphs>35</Paragraphs>
  <CharactersWithSpaces>11666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2025-11-12T05:24:52Z</dcterms:created>
  <dc:creator>V2247</dc:creator>
  <lastModifiedBy>V2247</lastModifiedBy>
  <dcterms:modified xsi:type="dcterms:W3CDTF">2025-11-12T06:22:07Z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71117bc8d3e74e6e9e465e9632c487f4</vt:lpwstr>
  </property>
</Properties>
</file>