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1D" w:rsidRDefault="00AE771D" w:rsidP="00AE771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spellStart"/>
      <w:r>
        <w:rPr>
          <w:rFonts w:ascii="Times New Roman" w:hAnsi="Times New Roman" w:cs="Times New Roman"/>
          <w:sz w:val="24"/>
        </w:rPr>
        <w:t>Fillah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Akram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Ramadhansyah</w:t>
      </w:r>
      <w:proofErr w:type="spellEnd"/>
    </w:p>
    <w:p w:rsidR="00AE771D" w:rsidRDefault="00AE771D" w:rsidP="00AE771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NPM :</w:t>
      </w:r>
      <w:proofErr w:type="gramEnd"/>
      <w:r>
        <w:rPr>
          <w:rFonts w:ascii="Times New Roman" w:hAnsi="Times New Roman" w:cs="Times New Roman"/>
          <w:sz w:val="24"/>
        </w:rPr>
        <w:t xml:space="preserve"> 2012011196</w:t>
      </w:r>
    </w:p>
    <w:p w:rsidR="00AE771D" w:rsidRDefault="00AE771D" w:rsidP="00AE771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Kuliah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Indonesia</w:t>
      </w:r>
    </w:p>
    <w:p w:rsidR="008640A2" w:rsidRDefault="00AE771D" w:rsidP="00AE771D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Pengampu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Atik</w:t>
      </w:r>
      <w:proofErr w:type="spellEnd"/>
      <w:r>
        <w:rPr>
          <w:rFonts w:ascii="Times New Roman" w:hAnsi="Times New Roman" w:cs="Times New Roman"/>
          <w:sz w:val="24"/>
        </w:rPr>
        <w:t xml:space="preserve"> Kartika,S.</w:t>
      </w:r>
      <w:proofErr w:type="spellStart"/>
      <w:r>
        <w:rPr>
          <w:rFonts w:ascii="Times New Roman" w:hAnsi="Times New Roman" w:cs="Times New Roman"/>
          <w:sz w:val="24"/>
        </w:rPr>
        <w:t>Pd</w:t>
      </w:r>
      <w:proofErr w:type="spellEnd"/>
      <w:r>
        <w:rPr>
          <w:rFonts w:ascii="Times New Roman" w:hAnsi="Times New Roman" w:cs="Times New Roman"/>
          <w:sz w:val="24"/>
        </w:rPr>
        <w:t>.,</w:t>
      </w:r>
      <w:proofErr w:type="spellStart"/>
      <w:r>
        <w:rPr>
          <w:rFonts w:ascii="Times New Roman" w:hAnsi="Times New Roman" w:cs="Times New Roman"/>
          <w:sz w:val="24"/>
        </w:rPr>
        <w:t>M.Pd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E771D" w:rsidRDefault="00AE771D" w:rsidP="00AE771D">
      <w:pPr>
        <w:rPr>
          <w:rFonts w:ascii="Times New Roman" w:hAnsi="Times New Roman" w:cs="Times New Roman"/>
          <w:sz w:val="24"/>
        </w:rPr>
      </w:pPr>
    </w:p>
    <w:p w:rsidR="001A0B06" w:rsidRDefault="001A0B06" w:rsidP="001A0B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</w:rPr>
      </w:pPr>
      <w:r w:rsidRPr="001A0B0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</w:rPr>
        <w:t xml:space="preserve">Indonesia </w:t>
      </w:r>
      <w:proofErr w:type="spellStart"/>
      <w:r w:rsidRPr="001A0B0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</w:rPr>
        <w:t>dalam</w:t>
      </w:r>
      <w:proofErr w:type="spellEnd"/>
      <w:r w:rsidRPr="001A0B0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</w:rPr>
        <w:t xml:space="preserve"> </w:t>
      </w:r>
      <w:proofErr w:type="spellStart"/>
      <w:r w:rsidRPr="001A0B0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</w:rPr>
        <w:t>Krisis</w:t>
      </w:r>
      <w:proofErr w:type="spellEnd"/>
      <w:r w:rsidRPr="001A0B0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</w:rPr>
        <w:t xml:space="preserve"> </w:t>
      </w:r>
      <w:proofErr w:type="spellStart"/>
      <w:r w:rsidRPr="001A0B0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</w:rPr>
        <w:t>Kepatuhan</w:t>
      </w:r>
      <w:proofErr w:type="spellEnd"/>
      <w:r w:rsidRPr="001A0B0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</w:rPr>
        <w:t xml:space="preserve"> </w:t>
      </w:r>
      <w:proofErr w:type="spellStart"/>
      <w:r w:rsidRPr="001A0B0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</w:rPr>
        <w:t>Hukum</w:t>
      </w:r>
      <w:proofErr w:type="spellEnd"/>
    </w:p>
    <w:p w:rsidR="001A0B06" w:rsidRDefault="001A0B06" w:rsidP="001A0B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8"/>
        </w:rPr>
      </w:pPr>
    </w:p>
    <w:p w:rsidR="001A0B06" w:rsidRPr="001A0B06" w:rsidRDefault="001A0B06" w:rsidP="001A0B06">
      <w:pPr>
        <w:pStyle w:val="NormalWeb"/>
        <w:shd w:val="clear" w:color="auto" w:fill="FFFFFF"/>
        <w:spacing w:before="0" w:before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Budaya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sangat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erat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hubungannya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dengan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kesadaran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diwujudkan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bentuk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prilaku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sebagai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cermin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kepatuhan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  <w:proofErr w:type="gram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 xml:space="preserve">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budaya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itu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dapat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dilihat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suatu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tradisi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prilaku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kesehariannya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sejalan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mencerminkan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kehendak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undang-undang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atau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rambu-rambu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telah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ditetapkan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berlaku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bagi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semua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subyek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 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hidup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berbangsa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bernegara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  <w:proofErr w:type="gram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 xml:space="preserve">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budaya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dapat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pula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dilihat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apakah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kita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kesadaran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sungguh-sungguh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telah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menjunjung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tinggi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sebagai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suatu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aturan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main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hidup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bersama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sebagai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dasar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menyelesaikan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setiap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masalah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timbul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dari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resiko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hidup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bersama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  <w:bookmarkStart w:id="0" w:name="_GoBack"/>
      <w:bookmarkEnd w:id="0"/>
      <w:proofErr w:type="gramEnd"/>
    </w:p>
    <w:p w:rsidR="001A0B06" w:rsidRPr="001A0B06" w:rsidRDefault="001A0B06" w:rsidP="001A0B06">
      <w:pPr>
        <w:pStyle w:val="NormalWeb"/>
        <w:shd w:val="clear" w:color="auto" w:fill="FFFFFF"/>
        <w:spacing w:before="0" w:before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Namun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kalau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dilihat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secara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materiil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yang 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pembuktian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pidana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selalu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berpegang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kebenaran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senyatanya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terjadi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hal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disebut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dengan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kebenaran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materiil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ternyata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sungguh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sulit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membangun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budaya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materiil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negeri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hal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menunjukkan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bahwa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sesungguhnya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kesadaran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saja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cukup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membangun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budaya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negeri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karena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kesadaran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masih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bersifat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abstrak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belum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merupakan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bentuk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prilaku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nyata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sekalipun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kita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baik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secara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instinktif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maupun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secara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rasional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sebenarnya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sadar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perlunya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kepatuhan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penghormatan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terhadap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berlaku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</w:p>
    <w:p w:rsidR="001A0B06" w:rsidRPr="001A0B06" w:rsidRDefault="001A0B06" w:rsidP="001A0B06">
      <w:pPr>
        <w:pStyle w:val="NormalWeb"/>
        <w:shd w:val="clear" w:color="auto" w:fill="FFFFFF"/>
        <w:spacing w:before="0" w:before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Pakar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Sosiologi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Prof.DR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  <w:proofErr w:type="gram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Satjipto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Raharjo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bukunya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“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Sisi-Sisi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Lain Dari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di Indonesia,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Penerbit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Kompas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2003”,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secara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implisit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menyimpulkan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bahwa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adanya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perasaan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bersalah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sekalipun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putusan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judex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factie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( PN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PT)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telah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menyatakan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bersangkutan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bersalah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merupakan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preseden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buruk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bagi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tegaknya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budaya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negeri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”. </w:t>
      </w: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Pandangan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kritis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pakar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sosiologi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itu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patut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menjadi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renungan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kita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bersama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sebab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terkandung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pesan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sangat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mengenai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perlunya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kita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mentradisikan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budaya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negeri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karena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tanpa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tertanam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budaya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mustahil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dapat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ditegakkan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berkeadilan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  <w:proofErr w:type="gramEnd"/>
    </w:p>
    <w:p w:rsidR="001A0B06" w:rsidRPr="001A0B06" w:rsidRDefault="001A0B06" w:rsidP="001A0B06">
      <w:pPr>
        <w:pStyle w:val="NormalWeb"/>
        <w:shd w:val="clear" w:color="auto" w:fill="FFFFFF"/>
        <w:spacing w:before="0" w:before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Oleh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karenanya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sekalipun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kita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sadar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terhadap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berlaku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negaranya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belum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tentu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kita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tersebut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patuh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tersebut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  <w:proofErr w:type="gram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Kepatuhan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terhadap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adalah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merupakan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hal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substansial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membangun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budaya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negeri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apakah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sebenarnya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kepatuhan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itu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?.</w:t>
      </w:r>
      <w:proofErr w:type="gramEnd"/>
    </w:p>
    <w:p w:rsidR="001A0B06" w:rsidRPr="001A0B06" w:rsidRDefault="001A0B06" w:rsidP="001A0B06">
      <w:pPr>
        <w:pStyle w:val="NormalWeb"/>
        <w:shd w:val="clear" w:color="auto" w:fill="FFFFFF"/>
        <w:spacing w:before="0" w:before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Kepatuhan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adalah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kesadaran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kemanfaatan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melahirkan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bentuk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“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kesetiaan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”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terhadap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nilai-nilai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diberlakukan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hidup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bersama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diwujudkan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bentuk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prilaku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senyatanya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patuh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terhadap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nilai-nilai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itu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sendiri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dapat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dilihat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dirasakan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oleh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sesama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anggota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  <w:proofErr w:type="gramEnd"/>
    </w:p>
    <w:p w:rsidR="001A0B06" w:rsidRPr="001A0B06" w:rsidRDefault="001A0B06" w:rsidP="001A0B06">
      <w:pPr>
        <w:pStyle w:val="NormalWeb"/>
        <w:shd w:val="clear" w:color="auto" w:fill="FFFFFF"/>
        <w:spacing w:before="0" w:before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lastRenderedPageBreak/>
        <w:t>Perlu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Penulis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tegaskan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lagi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bahwa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kepatuhan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hakikatnya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adalah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kesadaran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kesetiaan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terhadap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berlaku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sebagai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aturan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main (rule of the game)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sebagai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konsekuensi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hidup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bersama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dimana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kesetiaan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tersebut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diwujudkan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bentuk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prilaku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senyatanya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patuh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 xml:space="preserve">(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antara</w:t>
      </w:r>
      <w:proofErr w:type="spellEnd"/>
      <w:proofErr w:type="gramEnd"/>
      <w:r w:rsidRPr="001A0B06">
        <w:rPr>
          <w:rFonts w:ascii="Tahoma" w:hAnsi="Tahoma" w:cs="Tahoma"/>
          <w:color w:val="000000"/>
          <w:sz w:val="22"/>
          <w:szCs w:val="22"/>
        </w:rPr>
        <w:t xml:space="preserve"> das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sein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dengan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das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sollen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fakta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adalah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sama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) .</w:t>
      </w:r>
    </w:p>
    <w:p w:rsidR="001A0B06" w:rsidRPr="001A0B06" w:rsidRDefault="001A0B06" w:rsidP="001A0B06">
      <w:pPr>
        <w:pStyle w:val="NormalWeb"/>
        <w:shd w:val="clear" w:color="auto" w:fill="FFFFFF"/>
        <w:spacing w:before="0" w:before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Secara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a contra-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rio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jika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banyak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kita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dapatkan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bahwa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patuh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hal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dikarenakan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individu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dihadapkan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dua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tuntutan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kesetiaan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dimana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antara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tuntutan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kesetiaan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satu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bertentangan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dengan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tuntutan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kesetiaan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lainnya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  <w:proofErr w:type="gram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Misalnya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tersebut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dihadapkan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pilihan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setia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terhadap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atau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setia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terhadap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“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kepentingan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pribadinya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”,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setia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patuh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atasan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memerintahkan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berperang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membunuh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atau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setia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hati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nuraninya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mengatakan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bahwa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membunuh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itu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baik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atau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lebih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umum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seperti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sering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terjadi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patuh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aturan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lalu-lintas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perbuatan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korupsi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perbuatan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anarkisme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main hakim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sendiri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(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eigen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rechting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)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karena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mereka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lebih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mendahulukan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setia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kepentingan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pribadinya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atau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kelompoknya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dll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</w:p>
    <w:p w:rsidR="001A0B06" w:rsidRPr="001A0B06" w:rsidRDefault="001A0B06" w:rsidP="001A0B06">
      <w:pPr>
        <w:pStyle w:val="NormalWeb"/>
        <w:shd w:val="clear" w:color="auto" w:fill="FFFFFF"/>
        <w:spacing w:before="0" w:before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Apalagi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sekarang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menjadi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lebih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berani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patuh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demi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kepentingan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pribadi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karena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penegakannya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mereka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nilai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mempunyai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kewibawaan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lagi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dimana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penegak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karena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kepentingan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pribadinya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pula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lagi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menjadi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penegak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baik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penegakan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dirasakan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diskriminatif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.</w:t>
      </w:r>
      <w:proofErr w:type="gram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Sehingga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dalam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hal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ini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kesetiaan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terhadap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kepentingan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pribadi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menjadi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pangkal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tolak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mengapa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manusia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atau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kita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patuh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  <w:proofErr w:type="gramEnd"/>
    </w:p>
    <w:p w:rsidR="001A0B06" w:rsidRDefault="001A0B06" w:rsidP="001A0B06">
      <w:pPr>
        <w:pStyle w:val="NormalWeb"/>
        <w:shd w:val="clear" w:color="auto" w:fill="FFFFFF"/>
        <w:spacing w:before="0" w:before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Jika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faktor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kesetiaan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dapat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diandalkan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lagi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untuk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menjadikan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patuh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maka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negara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atau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pemerintah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harus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membangun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menjadikan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rasa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takut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sebagai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faktor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yang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membuat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masyarakat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patuh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  <w:proofErr w:type="gram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Wibawa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akan</w:t>
      </w:r>
      <w:proofErr w:type="spellEnd"/>
      <w:proofErr w:type="gram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dapat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dirasakan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jika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kita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punya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komitmen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kuat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konsisten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kontiniu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menegakkan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tanpa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diskriminatif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siapapun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harus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tunduk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penegakan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tidak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boleh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memihak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siapapun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dengan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alasan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apapun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kecuali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kepada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kebenaran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keadilan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itu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sendiri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. </w:t>
      </w:r>
      <w:proofErr w:type="spellStart"/>
      <w:proofErr w:type="gramStart"/>
      <w:r w:rsidRPr="001A0B06">
        <w:rPr>
          <w:rFonts w:ascii="Tahoma" w:hAnsi="Tahoma" w:cs="Tahoma"/>
          <w:color w:val="000000"/>
          <w:sz w:val="22"/>
          <w:szCs w:val="22"/>
        </w:rPr>
        <w:t>Disitulah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letak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wibawa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dan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keadilan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1A0B06">
        <w:rPr>
          <w:rFonts w:ascii="Tahoma" w:hAnsi="Tahoma" w:cs="Tahoma"/>
          <w:color w:val="000000"/>
          <w:sz w:val="22"/>
          <w:szCs w:val="22"/>
        </w:rPr>
        <w:t>hukum</w:t>
      </w:r>
      <w:proofErr w:type="spellEnd"/>
      <w:r w:rsidRPr="001A0B06">
        <w:rPr>
          <w:rFonts w:ascii="Tahoma" w:hAnsi="Tahoma" w:cs="Tahoma"/>
          <w:color w:val="000000"/>
          <w:sz w:val="22"/>
          <w:szCs w:val="22"/>
        </w:rPr>
        <w:t>.</w:t>
      </w:r>
      <w:proofErr w:type="gramEnd"/>
    </w:p>
    <w:p w:rsidR="001A0B06" w:rsidRPr="001A0B06" w:rsidRDefault="001A0B06" w:rsidP="001A0B06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</w:rPr>
      </w:pPr>
    </w:p>
    <w:p w:rsidR="00AE771D" w:rsidRDefault="00AE771D" w:rsidP="00AE771D">
      <w:pPr>
        <w:jc w:val="center"/>
      </w:pPr>
    </w:p>
    <w:sectPr w:rsidR="00AE7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1D"/>
    <w:rsid w:val="001A0B06"/>
    <w:rsid w:val="008640A2"/>
    <w:rsid w:val="00A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1D"/>
  </w:style>
  <w:style w:type="paragraph" w:styleId="Heading1">
    <w:name w:val="heading 1"/>
    <w:basedOn w:val="Normal"/>
    <w:link w:val="Heading1Char"/>
    <w:uiPriority w:val="9"/>
    <w:qFormat/>
    <w:rsid w:val="001A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1D"/>
  </w:style>
  <w:style w:type="paragraph" w:styleId="Heading1">
    <w:name w:val="heading 1"/>
    <w:basedOn w:val="Normal"/>
    <w:link w:val="Heading1Char"/>
    <w:uiPriority w:val="9"/>
    <w:qFormat/>
    <w:rsid w:val="001A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2020-12-15T15:19:00Z</dcterms:created>
  <dcterms:modified xsi:type="dcterms:W3CDTF">2020-12-15T15:38:00Z</dcterms:modified>
</cp:coreProperties>
</file>