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both"/>
        <w:rPr>
          <w:rFonts w:ascii="Times New Roman" w:cs="Times New Roman" w:hAnsi="Times New Roman"/>
          <w:sz w:val="24"/>
        </w:rPr>
      </w:pPr>
      <w:r>
        <w:rPr>
          <w:rFonts w:ascii="Times New Roman" w:cs="Times New Roman" w:hAnsi="Times New Roman"/>
          <w:sz w:val="24"/>
        </w:rPr>
        <w:t>Nama</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cs="Times New Roman" w:hAnsi="Times New Roman"/>
          <w:sz w:val="24"/>
          <w:lang w:val="en-US"/>
        </w:rPr>
        <w:t>Iqbal Ghovinda</w:t>
      </w:r>
    </w:p>
    <w:p>
      <w:pPr>
        <w:pStyle w:val="style0"/>
        <w:spacing w:lineRule="auto" w:line="360"/>
        <w:jc w:val="both"/>
        <w:rPr>
          <w:rFonts w:ascii="Times New Roman" w:cs="Times New Roman" w:hAnsi="Times New Roman"/>
          <w:sz w:val="24"/>
        </w:rPr>
      </w:pPr>
      <w:r>
        <w:rPr>
          <w:rFonts w:ascii="Times New Roman" w:cs="Times New Roman" w:hAnsi="Times New Roman"/>
          <w:sz w:val="24"/>
        </w:rPr>
        <w:t>NPM</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20120</w:t>
      </w:r>
      <w:r>
        <w:rPr>
          <w:rFonts w:cs="Times New Roman" w:hAnsi="Times New Roman"/>
          <w:sz w:val="24"/>
          <w:lang w:val="en-US"/>
        </w:rPr>
        <w:t>11058</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Mata </w:t>
      </w:r>
      <w:r>
        <w:rPr>
          <w:rFonts w:ascii="Times New Roman" w:cs="Times New Roman" w:hAnsi="Times New Roman"/>
          <w:sz w:val="24"/>
        </w:rPr>
        <w:t>Kuliah</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Bahasa</w:t>
      </w:r>
      <w:r>
        <w:rPr>
          <w:rFonts w:ascii="Times New Roman" w:cs="Times New Roman" w:hAnsi="Times New Roman"/>
          <w:sz w:val="24"/>
        </w:rPr>
        <w:t xml:space="preserve"> Indonesia</w:t>
      </w:r>
    </w:p>
    <w:p>
      <w:pPr>
        <w:pStyle w:val="style0"/>
        <w:spacing w:lineRule="auto" w:line="360"/>
        <w:jc w:val="both"/>
        <w:rPr>
          <w:rFonts w:ascii="Times New Roman" w:cs="Times New Roman" w:hAnsi="Times New Roman"/>
          <w:sz w:val="24"/>
        </w:rPr>
      </w:pPr>
      <w:r>
        <w:rPr>
          <w:rFonts w:ascii="Times New Roman" w:cs="Times New Roman" w:hAnsi="Times New Roman"/>
          <w:sz w:val="24"/>
        </w:rPr>
        <w:t>Dosen</w:t>
      </w:r>
      <w:r>
        <w:rPr>
          <w:rFonts w:ascii="Times New Roman" w:cs="Times New Roman" w:hAnsi="Times New Roman"/>
          <w:sz w:val="24"/>
        </w:rPr>
        <w:t xml:space="preserve"> </w:t>
        <w:tab/>
        <w:t xml:space="preserve">            :</w:t>
      </w:r>
      <w:r>
        <w:rPr>
          <w:rFonts w:ascii="Times New Roman" w:cs="Times New Roman" w:hAnsi="Times New Roman"/>
          <w:sz w:val="24"/>
        </w:rPr>
        <w:tab/>
      </w:r>
      <w:r>
        <w:rPr>
          <w:rFonts w:ascii="Times New Roman" w:cs="Times New Roman" w:hAnsi="Times New Roman"/>
          <w:sz w:val="24"/>
        </w:rPr>
        <w:t>Atik</w:t>
      </w:r>
      <w:r>
        <w:rPr>
          <w:rFonts w:ascii="Times New Roman" w:cs="Times New Roman" w:hAnsi="Times New Roman"/>
          <w:sz w:val="24"/>
        </w:rPr>
        <w:t xml:space="preserve"> </w:t>
      </w:r>
      <w:r>
        <w:rPr>
          <w:rFonts w:ascii="Times New Roman" w:cs="Times New Roman" w:hAnsi="Times New Roman"/>
          <w:sz w:val="24"/>
        </w:rPr>
        <w:t>Kartika</w:t>
      </w:r>
      <w:r>
        <w:rPr>
          <w:rFonts w:ascii="Times New Roman" w:cs="Times New Roman" w:hAnsi="Times New Roman"/>
          <w:sz w:val="24"/>
        </w:rPr>
        <w:t xml:space="preserve">, </w:t>
      </w:r>
      <w:r>
        <w:rPr>
          <w:rFonts w:ascii="Times New Roman" w:cs="Times New Roman" w:hAnsi="Times New Roman"/>
          <w:sz w:val="24"/>
        </w:rPr>
        <w:t>S.Pd</w:t>
      </w:r>
      <w:r>
        <w:rPr>
          <w:rFonts w:ascii="Times New Roman" w:cs="Times New Roman" w:hAnsi="Times New Roman"/>
          <w:sz w:val="24"/>
        </w:rPr>
        <w:t>.,</w:t>
      </w:r>
      <w:r>
        <w:rPr>
          <w:rFonts w:ascii="Times New Roman" w:cs="Times New Roman" w:hAnsi="Times New Roman"/>
          <w:sz w:val="24"/>
        </w:rPr>
        <w:t xml:space="preserve"> </w:t>
      </w:r>
      <w:r>
        <w:rPr>
          <w:rFonts w:ascii="Times New Roman" w:cs="Times New Roman" w:hAnsi="Times New Roman"/>
          <w:sz w:val="24"/>
        </w:rPr>
        <w:t>M.Pd</w:t>
      </w:r>
      <w:r>
        <w:rPr>
          <w:rFonts w:ascii="Times New Roman" w:cs="Times New Roman" w:hAnsi="Times New Roman"/>
          <w:sz w:val="24"/>
        </w:rPr>
        <w:t>.</w:t>
      </w:r>
    </w:p>
    <w:p>
      <w:pPr>
        <w:pStyle w:val="style0"/>
        <w:spacing w:lineRule="auto" w:line="360"/>
        <w:jc w:val="center"/>
        <w:rPr>
          <w:rFonts w:ascii="Times New Roman" w:cs="Times New Roman" w:hAnsi="Times New Roman"/>
          <w:sz w:val="24"/>
        </w:rPr>
      </w:pPr>
    </w:p>
    <w:p>
      <w:pPr>
        <w:pStyle w:val="style0"/>
        <w:spacing w:lineRule="auto" w:line="360"/>
        <w:jc w:val="center"/>
        <w:rPr>
          <w:rFonts w:ascii="Times New Roman" w:cs="Times New Roman" w:hAnsi="Times New Roman"/>
          <w:sz w:val="24"/>
        </w:rPr>
      </w:pPr>
      <w:r>
        <w:rPr>
          <w:rFonts w:cs="Times New Roman" w:hAnsi="Times New Roman"/>
          <w:sz w:val="24"/>
          <w:lang w:val="en-US"/>
        </w:rPr>
        <w:t>Dapatkah Menjerat Pidana Anak yang Lakukan Pencabulan?</w:t>
      </w:r>
    </w:p>
    <w:p>
      <w:pPr>
        <w:pStyle w:val="style0"/>
        <w:spacing w:lineRule="auto" w:line="360"/>
        <w:jc w:val="both"/>
        <w:rPr>
          <w:rFonts w:ascii="Times New Roman" w:cs="Times New Roman" w:hAnsi="Times New Roman"/>
          <w:sz w:val="24"/>
        </w:rPr>
      </w:pPr>
      <w:r>
        <w:rPr>
          <w:rFonts w:ascii="Times New Roman" w:cs="Times New Roman" w:hAnsi="Times New Roman"/>
          <w:sz w:val="24"/>
        </w:rPr>
        <w:tab/>
      </w:r>
    </w:p>
    <w:p>
      <w:pPr>
        <w:pStyle w:val="style0"/>
        <w:spacing w:lineRule="auto" w:line="360"/>
        <w:jc w:val="both"/>
        <w:rPr>
          <w:rFonts w:cs="Times New Roman" w:hAnsi="Times New Roman"/>
          <w:sz w:val="24"/>
          <w:lang w:val="en-US"/>
        </w:rPr>
      </w:pPr>
      <w:r>
        <w:rPr>
          <w:rFonts w:cs="Times New Roman" w:hAnsi="Times New Roman"/>
          <w:sz w:val="24"/>
          <w:lang w:val="en-US"/>
        </w:rPr>
        <w:t>Ada anak laki-laki dan perempuan masih di bawah 18 tahun melakukan hubungan suami istri. Perbuatan dilakukan karena si laki-laki merayu si perempuan, keduanya melakukannya secara suka sama suka. Tetapi, ada orang lain yang melaporkan kejadian ini. Pertanyaan; 1) kasus ini dalam kategori kasus pelecehan atau pencabulan? 2) ancaman dari perbuatan tersebut dalam pasal berapa?</w:t>
      </w:r>
    </w:p>
    <w:p>
      <w:pPr>
        <w:pStyle w:val="style0"/>
        <w:spacing w:lineRule="auto" w:line="360"/>
        <w:jc w:val="both"/>
        <w:rPr>
          <w:rFonts w:cs="Times New Roman" w:hAnsi="Times New Roman"/>
          <w:sz w:val="24"/>
          <w:lang w:val="en-US"/>
        </w:rPr>
      </w:pPr>
      <w:r>
        <w:rPr>
          <w:rFonts w:cs="Times New Roman" w:hAnsi="Times New Roman"/>
          <w:sz w:val="24"/>
          <w:lang w:val="en-US"/>
        </w:rPr>
        <w:t>Sebelumnya, kami sampaikan bahwa kedua laki-laki dan perempuan tersebut masih digolongkan sebagai anak menurut Undang-Undang Nomor 23 Tahun 2002 tentang Perlindungan Anak (“UU Perlindungan Anak”) sebagaimana yang telah diubah oleh Undang-Undang Nomor 35 tahun 2014 tentang Perubahan Atas Undang-Undang Nomor 23 Tahun 2002 tentang Perlindungan Anak(“UU 35/2014”) dan diubah kedua kalinya dengan Peraturan Pemerintah Pengganti Undang-Undang Nomor 1 Tahun 2016 tentang Perubahan Kedua Atas Undang-Undang Nomor 23 Tahun 2002 tentang Perlindungan Anak (“Perpu 1/2016”) sebagaimana yang telah ditetapkan sebagai undang-undang dengan Undang-Undang Nomor 17 Tahun 2016 tentang Penetapan Peraturan Pemerintah Pengganti Undang-Undang Nomor 1 Tahun 2016 tentang Perubahan Kedua Atas Undang-Undang Nomor 23 Tahun 2002 tentang Perlindungan Anak Menjadi Undang-Undang (“UU 17/2016”). Anak adalah seseorang yang belum berusia 18 (delapan belas) tahun, termasuk anak yang masih dalam kandungan.[1]</w:t>
      </w:r>
    </w:p>
    <w:p>
      <w:pPr>
        <w:pStyle w:val="style0"/>
        <w:spacing w:lineRule="auto" w:line="360"/>
        <w:jc w:val="both"/>
        <w:rPr>
          <w:rFonts w:cs="Times New Roman" w:hAnsi="Times New Roman"/>
          <w:sz w:val="24"/>
          <w:lang w:val="en-US"/>
        </w:rPr>
      </w:pPr>
      <w:r>
        <w:rPr>
          <w:rFonts w:cs="Times New Roman" w:hAnsi="Times New Roman"/>
          <w:sz w:val="24"/>
          <w:lang w:val="en-US"/>
        </w:rPr>
        <w:t xml:space="preserve"> </w:t>
      </w:r>
    </w:p>
    <w:p>
      <w:pPr>
        <w:pStyle w:val="style0"/>
        <w:spacing w:lineRule="auto" w:line="360"/>
        <w:jc w:val="both"/>
        <w:rPr>
          <w:rFonts w:cs="Times New Roman" w:hAnsi="Times New Roman"/>
          <w:sz w:val="24"/>
          <w:lang w:val="en-US"/>
        </w:rPr>
      </w:pPr>
      <w:r>
        <w:rPr>
          <w:rFonts w:cs="Times New Roman" w:hAnsi="Times New Roman"/>
          <w:sz w:val="24"/>
          <w:lang w:val="en-US"/>
        </w:rPr>
        <w:t>Sebagaimana pernah dijelaskan dalam artikel yang berjudul Jerat Hukum dan Pembuktian Pelecehan Seksual, Ratna Batara Munti dalam artikel berjudul “Kekerasan Seksual: Mitos dan Realitas” menyatakan antara lain di dalam Kitab Undang-Undang Hukum Pidana(“KUHP”) tidak dikenal istilah pelecehan seksual. KUHP, menurutnya, hanya mengenal istilah perbuatan cabul, yakni diatur dalam Pasal 289 sampai dengan Pasal 296 KUHP. Mengutip buku “KUHP Serta Komentar-komentarnya” karya R. Soesilo (hal. 212), Ratna menyatakan bahwa istilah perbuatan cabul dijelaskan sebagai perbuatan yang melanggar rasa kesusilaan, atau perbuatan lain yang keji, dan semuanya dalam lingkungan nafsu berahi kelamin. Misalnya, cium-ciuman, meraba-raba anggota kemaluan, meraba-raba buah dada, dan sebagainya; termasuk pula persetubuhan namun di undang-undang disebutkan sendiri.</w:t>
      </w:r>
    </w:p>
    <w:p>
      <w:pPr>
        <w:pStyle w:val="style0"/>
        <w:spacing w:lineRule="auto" w:line="360"/>
        <w:jc w:val="both"/>
        <w:rPr>
          <w:rFonts w:cs="Times New Roman" w:hAnsi="Times New Roman"/>
          <w:sz w:val="24"/>
          <w:lang w:val="en-US"/>
        </w:rPr>
      </w:pPr>
      <w:r>
        <w:rPr>
          <w:rFonts w:cs="Times New Roman" w:hAnsi="Times New Roman"/>
          <w:sz w:val="24"/>
          <w:lang w:val="en-US"/>
        </w:rPr>
        <w:t xml:space="preserve"> </w:t>
      </w:r>
    </w:p>
    <w:p>
      <w:pPr>
        <w:pStyle w:val="style0"/>
        <w:spacing w:lineRule="auto" w:line="360"/>
        <w:jc w:val="both"/>
        <w:rPr>
          <w:rFonts w:cs="Times New Roman" w:hAnsi="Times New Roman"/>
          <w:sz w:val="24"/>
          <w:lang w:val="en-US"/>
        </w:rPr>
      </w:pPr>
      <w:r>
        <w:rPr>
          <w:rFonts w:cs="Times New Roman" w:hAnsi="Times New Roman"/>
          <w:sz w:val="24"/>
          <w:lang w:val="en-US"/>
        </w:rPr>
        <w:t>Menurut Ratna, dalam pengertian itu berarti, segala perbuatan apabila itu telah dianggap melanggar kesopanan/kesusilaan, dapat dimasukkan sebagai perbuatan cabul. Sementara itu, istilah pelecehan seksual mengacu pada sexual harassment diartikan sebagai unwelcome attention (Martin Eskenazi and David Gallen, 1992) atau secara hukum didefinisikan sebagai "imposition of unwelcome sexual demands or creation of sexually offensive environments".</w:t>
      </w:r>
    </w:p>
    <w:p>
      <w:pPr>
        <w:pStyle w:val="style0"/>
        <w:spacing w:lineRule="auto" w:line="360"/>
        <w:jc w:val="both"/>
        <w:rPr>
          <w:rFonts w:cs="Times New Roman" w:hAnsi="Times New Roman"/>
          <w:sz w:val="24"/>
          <w:lang w:val="en-US"/>
        </w:rPr>
      </w:pPr>
      <w:r>
        <w:rPr>
          <w:rFonts w:cs="Times New Roman" w:hAnsi="Times New Roman"/>
          <w:sz w:val="24"/>
          <w:lang w:val="en-US"/>
        </w:rPr>
        <w:t xml:space="preserve"> </w:t>
      </w:r>
    </w:p>
    <w:p>
      <w:pPr>
        <w:pStyle w:val="style0"/>
        <w:spacing w:lineRule="auto" w:line="360"/>
        <w:jc w:val="both"/>
        <w:rPr>
          <w:rFonts w:cs="Times New Roman" w:hAnsi="Times New Roman"/>
          <w:sz w:val="24"/>
          <w:lang w:val="en-US"/>
        </w:rPr>
      </w:pPr>
      <w:r>
        <w:rPr>
          <w:rFonts w:cs="Times New Roman" w:hAnsi="Times New Roman"/>
          <w:sz w:val="24"/>
          <w:lang w:val="en-US"/>
        </w:rPr>
        <w:t>Jika memang perbuatan yang dilakukan oleh anak laki-laki dan perempuan itu berupa perbuatan cabul yang diawali dengan rayuan terlebih dahulu, maka perbuatan tersebut melanggar Pasal 76E UU 35/2014 yang menyatakan:</w:t>
      </w:r>
    </w:p>
    <w:p>
      <w:pPr>
        <w:pStyle w:val="style0"/>
        <w:spacing w:lineRule="auto" w:line="360"/>
        <w:jc w:val="both"/>
        <w:rPr>
          <w:rFonts w:cs="Times New Roman" w:hAnsi="Times New Roman"/>
          <w:sz w:val="24"/>
          <w:lang w:val="en-US"/>
        </w:rPr>
      </w:pPr>
      <w:r>
        <w:rPr>
          <w:rFonts w:cs="Times New Roman" w:hAnsi="Times New Roman"/>
          <w:sz w:val="24"/>
          <w:lang w:val="en-US"/>
        </w:rPr>
        <w:t>Setiap Orang dilarang melakukan Kekerasan atau ancaman Kekerasan, memaksa, melakukan tipu muslihat, melakukan serangkaian kebohongan, atau membujuk Anak untuk melakukan atau membiarkan dilakukan perbuatan cabul.</w:t>
      </w:r>
    </w:p>
    <w:p>
      <w:pPr>
        <w:pStyle w:val="style0"/>
        <w:spacing w:lineRule="auto" w:line="360"/>
        <w:jc w:val="both"/>
        <w:rPr>
          <w:rFonts w:cs="Times New Roman" w:hAnsi="Times New Roman"/>
          <w:sz w:val="24"/>
          <w:lang w:val="en-US"/>
        </w:rPr>
      </w:pPr>
      <w:r>
        <w:rPr>
          <w:rFonts w:cs="Times New Roman" w:hAnsi="Times New Roman"/>
          <w:sz w:val="24"/>
          <w:lang w:val="en-US"/>
        </w:rPr>
        <w:t xml:space="preserve"> </w:t>
      </w:r>
    </w:p>
    <w:p>
      <w:pPr>
        <w:pStyle w:val="style0"/>
        <w:spacing w:lineRule="auto" w:line="360"/>
        <w:jc w:val="both"/>
        <w:rPr>
          <w:rFonts w:cs="Times New Roman" w:hAnsi="Times New Roman"/>
          <w:sz w:val="24"/>
          <w:lang w:val="en-US"/>
        </w:rPr>
      </w:pPr>
      <w:r>
        <w:rPr>
          <w:rFonts w:cs="Times New Roman" w:hAnsi="Times New Roman"/>
          <w:sz w:val="24"/>
          <w:lang w:val="en-US"/>
        </w:rPr>
        <w:t>Hukuman atas perbuatan tersebut diatur dalam Pasal 82 Perpu 1/2016 sebagai berikut:</w:t>
      </w:r>
    </w:p>
    <w:p>
      <w:pPr>
        <w:pStyle w:val="style0"/>
        <w:spacing w:lineRule="auto" w:line="360"/>
        <w:jc w:val="both"/>
        <w:rPr>
          <w:rFonts w:cs="Times New Roman" w:hAnsi="Times New Roman"/>
          <w:sz w:val="24"/>
          <w:lang w:val="en-US"/>
        </w:rPr>
      </w:pPr>
      <w:r>
        <w:rPr>
          <w:rFonts w:cs="Times New Roman" w:hAnsi="Times New Roman"/>
          <w:sz w:val="24"/>
          <w:lang w:val="en-US"/>
        </w:rPr>
        <w:t xml:space="preserve"> </w:t>
      </w:r>
    </w:p>
    <w:p>
      <w:pPr>
        <w:pStyle w:val="style0"/>
        <w:spacing w:lineRule="auto" w:line="360"/>
        <w:jc w:val="both"/>
        <w:rPr>
          <w:rFonts w:cs="Times New Roman" w:hAnsi="Times New Roman"/>
          <w:sz w:val="24"/>
          <w:lang w:val="en-US"/>
        </w:rPr>
      </w:pPr>
      <w:r>
        <w:rPr>
          <w:rFonts w:cs="Times New Roman" w:hAnsi="Times New Roman"/>
          <w:sz w:val="24"/>
          <w:lang w:val="en-US"/>
        </w:rPr>
        <w:t>Setiap orang yang melanggar ketentuan sebagaimana dimaksud dalam Pasal 76E dipidana dengan pidana penjara paling singkat 5 (lima) tahun dan paling lama 15 (lima belas) tahun dan denda paling banyak Rp5.000.000.000,00 (lima miliar rupiah).</w:t>
      </w:r>
    </w:p>
    <w:p>
      <w:pPr>
        <w:pStyle w:val="style0"/>
        <w:spacing w:lineRule="auto" w:line="360"/>
        <w:jc w:val="both"/>
        <w:rPr>
          <w:rFonts w:cs="Times New Roman" w:hAnsi="Times New Roman"/>
          <w:sz w:val="24"/>
          <w:lang w:val="en-US"/>
        </w:rPr>
      </w:pPr>
      <w:r>
        <w:rPr>
          <w:rFonts w:cs="Times New Roman" w:hAnsi="Times New Roman"/>
          <w:sz w:val="24"/>
          <w:lang w:val="en-US"/>
        </w:rPr>
        <w:t>Dalam hal tindak pidana sebagaimana dimaksud pada ayat (1) dilakukan oleh orang tua, wali, orang-orang yang mempunyai hubungan keluarga, pengasuh anak, pendidik, tenaga kependidikan, aparat yang menangani perlindungan anak, atau dilakukan oleh lebih dari satu orang secara bersama-sama, pidananya ditambah 1/3 (sepertiga) dari ancaman pidana sebagaimana dimaksud pada ayat (1).</w:t>
      </w:r>
    </w:p>
    <w:p>
      <w:pPr>
        <w:pStyle w:val="style0"/>
        <w:spacing w:lineRule="auto" w:line="360"/>
        <w:jc w:val="both"/>
        <w:rPr>
          <w:rFonts w:cs="Times New Roman" w:hAnsi="Times New Roman"/>
          <w:sz w:val="24"/>
          <w:lang w:val="en-US"/>
        </w:rPr>
      </w:pPr>
      <w:r>
        <w:rPr>
          <w:rFonts w:cs="Times New Roman" w:hAnsi="Times New Roman"/>
          <w:sz w:val="24"/>
          <w:lang w:val="en-US"/>
        </w:rPr>
        <w:t>Selain terhadap pelaku sebagaimana dimaksud pada ayat (2), penambahan 1/3 (sepertiga) dari ancaman pidana juga dikenakan kepada pelaku yang pernah dipidana karena melakukan tindak pidana sebagaimana dimaksud dalam Pasal 76E.</w:t>
      </w:r>
    </w:p>
    <w:p>
      <w:pPr>
        <w:pStyle w:val="style0"/>
        <w:spacing w:lineRule="auto" w:line="360"/>
        <w:jc w:val="both"/>
        <w:rPr>
          <w:rFonts w:cs="Times New Roman" w:hAnsi="Times New Roman"/>
          <w:sz w:val="24"/>
          <w:lang w:val="en-US"/>
        </w:rPr>
      </w:pPr>
      <w:r>
        <w:rPr>
          <w:rFonts w:cs="Times New Roman" w:hAnsi="Times New Roman"/>
          <w:sz w:val="24"/>
          <w:lang w:val="en-US"/>
        </w:rPr>
        <w:t>Dalam hal tindak pidana sebagaimana dimaksud dalam Pasal 76E menimbulkan korban lebih dari 1 (satu) orang, mengakibatkan luka berat, gangguan jiwa, penyakit menular, terganggu atau hilangnya fungsi reproduksi, dan/atau korban meninggal dunia, pidananya ditambah 1/3 (sepertiga) dari ancaman pidana sebagaimana dimaksud pada ayat (1).</w:t>
      </w:r>
    </w:p>
    <w:p>
      <w:pPr>
        <w:pStyle w:val="style0"/>
        <w:spacing w:lineRule="auto" w:line="360"/>
        <w:jc w:val="both"/>
        <w:rPr>
          <w:rFonts w:cs="Times New Roman" w:hAnsi="Times New Roman"/>
          <w:sz w:val="24"/>
          <w:lang w:val="en-US"/>
        </w:rPr>
      </w:pPr>
      <w:r>
        <w:rPr>
          <w:rFonts w:cs="Times New Roman" w:hAnsi="Times New Roman"/>
          <w:sz w:val="24"/>
          <w:lang w:val="en-US"/>
        </w:rPr>
        <w:t>Selain dikenai pidana sebagaimana dimaksud pada ayat (1) sampai dengan ayat (4), pelaku dapat dikenai pidana tambahan berupa pengumuman identitas pelaku.</w:t>
      </w:r>
    </w:p>
    <w:p>
      <w:pPr>
        <w:pStyle w:val="style0"/>
        <w:spacing w:lineRule="auto" w:line="360"/>
        <w:jc w:val="both"/>
        <w:rPr>
          <w:rFonts w:cs="Times New Roman" w:hAnsi="Times New Roman"/>
          <w:sz w:val="24"/>
          <w:lang w:val="en-US"/>
        </w:rPr>
      </w:pPr>
      <w:r>
        <w:rPr>
          <w:rFonts w:cs="Times New Roman" w:hAnsi="Times New Roman"/>
          <w:sz w:val="24"/>
          <w:lang w:val="en-US"/>
        </w:rPr>
        <w:t>Terhadap pelaku sebagaimana dimaksud pada ayat (2) sampai dengan ayat (4) dapat dikenai tindakan berupa rehabilitasi dan pemasangan alat pendeteksi elektronik.</w:t>
      </w:r>
    </w:p>
    <w:p>
      <w:pPr>
        <w:pStyle w:val="style0"/>
        <w:spacing w:lineRule="auto" w:line="360"/>
        <w:jc w:val="both"/>
        <w:rPr>
          <w:rFonts w:cs="Times New Roman" w:hAnsi="Times New Roman"/>
          <w:sz w:val="24"/>
          <w:lang w:val="en-US"/>
        </w:rPr>
      </w:pPr>
      <w:r>
        <w:rPr>
          <w:rFonts w:cs="Times New Roman" w:hAnsi="Times New Roman"/>
          <w:sz w:val="24"/>
          <w:lang w:val="en-US"/>
        </w:rPr>
        <w:t>Tindakan sebagaimana dimaksud pada ayat (6) diputuskan bersama-sama dengan pidana pokok dengan memuat jangka waktu pelaksanaan tindakan.</w:t>
      </w:r>
    </w:p>
    <w:p>
      <w:pPr>
        <w:pStyle w:val="style0"/>
        <w:spacing w:lineRule="auto" w:line="360"/>
        <w:jc w:val="both"/>
        <w:rPr>
          <w:rFonts w:cs="Times New Roman" w:hAnsi="Times New Roman"/>
          <w:sz w:val="24"/>
          <w:lang w:val="en-US"/>
        </w:rPr>
      </w:pPr>
      <w:r>
        <w:rPr>
          <w:rFonts w:cs="Times New Roman" w:hAnsi="Times New Roman"/>
          <w:sz w:val="24"/>
          <w:lang w:val="en-US"/>
        </w:rPr>
        <w:t>Pidana tambahan dikecualikan bagi pelaku Anak</w:t>
      </w:r>
    </w:p>
    <w:p>
      <w:pPr>
        <w:pStyle w:val="style0"/>
        <w:spacing w:lineRule="auto" w:line="360"/>
        <w:jc w:val="both"/>
        <w:rPr>
          <w:rFonts w:cs="Times New Roman" w:hAnsi="Times New Roman"/>
          <w:sz w:val="24"/>
          <w:lang w:val="en-US"/>
        </w:rPr>
      </w:pPr>
      <w:r>
        <w:rPr>
          <w:rFonts w:cs="Times New Roman" w:hAnsi="Times New Roman"/>
          <w:sz w:val="24"/>
          <w:lang w:val="en-US"/>
        </w:rPr>
        <w:t>Anak yang Melakukan Pencabulan Tidak Dapat Dipidana</w:t>
      </w:r>
    </w:p>
    <w:p>
      <w:pPr>
        <w:pStyle w:val="style0"/>
        <w:spacing w:lineRule="auto" w:line="360"/>
        <w:jc w:val="both"/>
        <w:rPr>
          <w:rFonts w:cs="Times New Roman" w:hAnsi="Times New Roman"/>
          <w:sz w:val="24"/>
          <w:lang w:val="en-US"/>
        </w:rPr>
      </w:pPr>
      <w:r>
        <w:rPr>
          <w:rFonts w:cs="Times New Roman" w:hAnsi="Times New Roman"/>
          <w:sz w:val="24"/>
          <w:lang w:val="en-US"/>
        </w:rPr>
        <w:t>Tetapi karena yang melakukan perbuatan cabul tersebut masih anak (masih di bawah 18 tahun), maka ia tidak dapat dipidana, hal yang sama juga pernah dijelaskan dalam artikel Hukumnya Bagi Anak yang Mencabuli Balita. Undang-Undang Nomor 11 Tahun 2012 tentang Sistem Peradilan Pidana Anak (“UU 11/2012”), mempunyai prinsip yaitu menjauhkan anak dari penjara. Tindak pidana yang dilakukan oleh anak tidak dapat disamakan layaknya tindak pidana yang dilakukan oleh orang dewasa. Pendekatan restorative justice harus dikedepankan, yaitu sebagaimana disebut dalam Pasal 1 angka 6 UU 11/2012:</w:t>
      </w:r>
    </w:p>
    <w:p>
      <w:pPr>
        <w:pStyle w:val="style0"/>
        <w:spacing w:lineRule="auto" w:line="360"/>
        <w:jc w:val="both"/>
        <w:rPr>
          <w:rFonts w:cs="Times New Roman" w:hAnsi="Times New Roman"/>
          <w:sz w:val="24"/>
          <w:lang w:val="en-US"/>
        </w:rPr>
      </w:pPr>
      <w:r>
        <w:rPr>
          <w:rFonts w:cs="Times New Roman" w:hAnsi="Times New Roman"/>
          <w:sz w:val="24"/>
          <w:lang w:val="en-US"/>
        </w:rPr>
        <w:t xml:space="preserve"> </w:t>
      </w:r>
    </w:p>
    <w:p>
      <w:pPr>
        <w:pStyle w:val="style0"/>
        <w:spacing w:lineRule="auto" w:line="360"/>
        <w:jc w:val="both"/>
        <w:rPr>
          <w:rFonts w:cs="Times New Roman" w:hAnsi="Times New Roman"/>
          <w:sz w:val="24"/>
          <w:lang w:val="en-US"/>
        </w:rPr>
      </w:pPr>
      <w:r>
        <w:rPr>
          <w:rFonts w:cs="Times New Roman" w:hAnsi="Times New Roman"/>
          <w:sz w:val="24"/>
          <w:lang w:val="en-US"/>
        </w:rPr>
        <w:t>Keadilan Restoratif adalah penyelesaian perkara tindak pidana dengan melibatkan pelaku, korban, keluarga pelaku/korban, dan pihak lain yang terkait untuk bersama-sama mencari penyelesaian yang adil dengan menekankan pemulihan kembali pada keadaan semula, dan bukan pembalasan.</w:t>
      </w:r>
    </w:p>
    <w:p>
      <w:pPr>
        <w:pStyle w:val="style0"/>
        <w:spacing w:lineRule="auto" w:line="360"/>
        <w:jc w:val="both"/>
        <w:rPr>
          <w:rFonts w:cs="Times New Roman" w:hAnsi="Times New Roman"/>
          <w:sz w:val="24"/>
          <w:lang w:val="en-US"/>
        </w:rPr>
      </w:pPr>
      <w:r>
        <w:rPr>
          <w:rFonts w:cs="Times New Roman" w:hAnsi="Times New Roman"/>
          <w:sz w:val="24"/>
          <w:lang w:val="en-US"/>
        </w:rPr>
        <w:t xml:space="preserve"> </w:t>
      </w:r>
    </w:p>
    <w:p>
      <w:pPr>
        <w:pStyle w:val="style0"/>
        <w:spacing w:lineRule="auto" w:line="360"/>
        <w:jc w:val="both"/>
        <w:rPr>
          <w:rFonts w:ascii="Times New Roman" w:cs="Times New Roman" w:hAnsi="Times New Roman"/>
          <w:sz w:val="24"/>
        </w:rPr>
      </w:pPr>
      <w:r>
        <w:rPr>
          <w:rFonts w:cs="Times New Roman" w:hAnsi="Times New Roman"/>
          <w:sz w:val="24"/>
          <w:lang w:val="en-US"/>
        </w:rPr>
        <w:t>Inti dari keadilan restoratif adalah penyembuhan, pembelajaran moral, partisipasi dan perhatian masyarakat, rasa memaafkan, tanggungjawab serta membuat perubahan yang semua itu merupakan pedoman bagi proses restorasi dalam perpektif keadilan restoratif.</w:t>
      </w:r>
    </w:p>
    <w:p>
      <w:pPr>
        <w:pStyle w:val="style0"/>
        <w:spacing w:lineRule="auto" w:line="360"/>
        <w:jc w:val="both"/>
        <w:rPr>
          <w:rFonts w:ascii="Times New Roman" w:cs="Times New Roman" w:hAnsi="Times New Roman"/>
          <w:sz w:val="24"/>
        </w:rPr>
      </w:pPr>
    </w:p>
    <w:p>
      <w:pPr>
        <w:pStyle w:val="style0"/>
        <w:spacing w:lineRule="auto" w:line="360"/>
        <w:jc w:val="both"/>
        <w:rPr>
          <w:rFonts w:ascii="Times New Roman" w:cs="Times New Roman" w:hAnsi="Times New Roman"/>
          <w:sz w:val="24"/>
        </w:rPr>
      </w:pPr>
    </w:p>
    <w:sectPr>
      <w:pgSz w:w="11907" w:h="16839" w:orient="portrait"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3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814</Words>
  <Pages>3</Pages>
  <Characters>5345</Characters>
  <Application>WPS Office</Application>
  <DocSecurity>0</DocSecurity>
  <Paragraphs>35</Paragraphs>
  <ScaleCrop>false</ScaleCrop>
  <LinksUpToDate>false</LinksUpToDate>
  <CharactersWithSpaces>6161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2020-12-15T13:30:55Z</dcterms:created>
  <dc:creator>ASUS</dc:creator>
  <lastModifiedBy>CPH1803</lastModifiedBy>
  <dcterms:modified xsi:type="dcterms:W3CDTF">2020-12-15T13:32:18Z</dcterms:modified>
  <revision>11</revision>
</coreProperties>
</file>

<file path=docProps/custom.xml><?xml version="1.0" encoding="utf-8"?>
<Properties xmlns="http://schemas.openxmlformats.org/officeDocument/2006/custom-properties" xmlns:vt="http://schemas.openxmlformats.org/officeDocument/2006/docPropsVTypes"/>
</file>