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03E0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 xml:space="preserve">ANALISIS IMPLEMENTASI KEBIJAKAN </w:t>
      </w:r>
      <w:r w:rsidRPr="001C75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SMART CITY</w:t>
      </w:r>
      <w:r w:rsidRPr="001C7503">
        <w:rPr>
          <w:rFonts w:ascii="Times New Roman" w:hAnsi="Times New Roman" w:cs="Times New Roman"/>
          <w:b/>
          <w:bCs/>
          <w:sz w:val="24"/>
          <w:szCs w:val="24"/>
        </w:rPr>
        <w:t xml:space="preserve"> DI KOTA BANDAR LAMPUNG</w:t>
      </w:r>
    </w:p>
    <w:p w14:paraId="5BD27A0C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0F7C0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4D4EFA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14:paraId="16DB9893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Fajar Rizky Ananta</w:t>
      </w:r>
    </w:p>
    <w:p w14:paraId="01790B62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(2416041070)</w:t>
      </w:r>
    </w:p>
    <w:p w14:paraId="1BB66920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503">
        <w:rPr>
          <w:rFonts w:ascii="Times New Roman" w:hAnsi="Times New Roman" w:cs="Times New Roman"/>
          <w:b/>
          <w:bCs/>
          <w:sz w:val="24"/>
          <w:szCs w:val="24"/>
        </w:rPr>
        <w:t>Reguler</w:t>
      </w:r>
      <w:proofErr w:type="spellEnd"/>
      <w:r w:rsidRPr="001C7503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</w:p>
    <w:p w14:paraId="3FEB9EC8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73FCD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7753C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96FDD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269FFA4" wp14:editId="17812699">
            <wp:extent cx="2006600" cy="1974850"/>
            <wp:effectExtent l="0" t="0" r="0" b="6350"/>
            <wp:docPr id="888511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54ECC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CB5F5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D6DA5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40D2A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ILMU ADMINISTRASI NEGARA</w:t>
      </w:r>
    </w:p>
    <w:p w14:paraId="6469BCE7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FAKULTAS ILMU SOSIAL &amp; ILMU POLITIK</w:t>
      </w:r>
    </w:p>
    <w:p w14:paraId="4780D00C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33BA25F1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BANDAR LAMPUNG</w:t>
      </w:r>
    </w:p>
    <w:p w14:paraId="074E5044" w14:textId="77777777" w:rsidR="00D55B8D" w:rsidRPr="001C7503" w:rsidRDefault="00D55B8D" w:rsidP="001C750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7503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29594980" w14:textId="77777777" w:rsidR="00D55B8D" w:rsidRPr="00D55B8D" w:rsidRDefault="00D55B8D" w:rsidP="001C750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B8D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III</w:t>
      </w:r>
      <w:r w:rsidRPr="00D55B8D">
        <w:rPr>
          <w:rFonts w:ascii="Times New Roman" w:hAnsi="Times New Roman" w:cs="Times New Roman"/>
          <w:sz w:val="24"/>
          <w:szCs w:val="24"/>
        </w:rPr>
        <w:br/>
      </w:r>
      <w:r w:rsidRPr="00D55B8D">
        <w:rPr>
          <w:rFonts w:ascii="Times New Roman" w:hAnsi="Times New Roman" w:cs="Times New Roman"/>
          <w:b/>
          <w:bCs/>
          <w:sz w:val="24"/>
          <w:szCs w:val="24"/>
        </w:rPr>
        <w:t>METODE PENELELITIAN</w:t>
      </w:r>
    </w:p>
    <w:p w14:paraId="5E638FD9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C926647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konstruktivis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interpretif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sebab-akibat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antarindividu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(Creswell, 2016).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Kota Bandar Lampung.</w:t>
      </w:r>
    </w:p>
    <w:p w14:paraId="076A8198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dihadapinya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jamak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multiple realities</w:t>
      </w:r>
      <w:r w:rsidRPr="00D360BF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Simbolon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(2024)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cerdas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diinterpretasikan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1BFA68DB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memanipulasi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diadaptasi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70955BB8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dan Metode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CEC8A98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tipe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deskriptif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Kota Bandar Lampung.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(2019),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nuansa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098DC0AA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Simbolon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(2024)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menelaah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penghambatnya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1E24EC43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birokratis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utuh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holistik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09888A27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3.3 Metode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Operasionalisasi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</w:p>
    <w:p w14:paraId="5628BC67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mengoperasionalkan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Thomas B. Smith</w:t>
      </w:r>
      <w:r w:rsidRPr="00D360BF">
        <w:rPr>
          <w:rFonts w:ascii="Times New Roman" w:hAnsi="Times New Roman" w:cs="Times New Roman"/>
          <w:sz w:val="24"/>
          <w:szCs w:val="24"/>
        </w:rPr>
        <w:t xml:space="preserve">. Teori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diidealkan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idealized policy</w:t>
      </w:r>
      <w:r w:rsidRPr="00D360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target group</w:t>
      </w:r>
      <w:r w:rsidRPr="00D360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implementing organization</w:t>
      </w:r>
      <w:r w:rsidRPr="00D360BF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environmental factors</w:t>
      </w:r>
      <w:r w:rsidRPr="00D360B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efektivitas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multi-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73D0AB22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Basori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Purwanti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(2024)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model Thomas B. Smith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governance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Indonesia. Dalam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dioperasionalkan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:</w:t>
      </w:r>
    </w:p>
    <w:p w14:paraId="274230E3" w14:textId="77777777" w:rsidR="00D360BF" w:rsidRPr="00D360BF" w:rsidRDefault="00D360BF" w:rsidP="00D360BF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Diidealkan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strategi,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RPJMD,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masterplan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Kota Bandar Lampung.</w:t>
      </w:r>
    </w:p>
    <w:p w14:paraId="315A3FEB" w14:textId="77777777" w:rsidR="00D360BF" w:rsidRPr="00D360BF" w:rsidRDefault="00D360BF" w:rsidP="00D360BF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Kelompok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Sasaran: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Kota Bandar Lampung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(UMKM)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6E52F0D6" w14:textId="77777777" w:rsidR="00D360BF" w:rsidRPr="00D360BF" w:rsidRDefault="00D360BF" w:rsidP="00D360BF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Pelaksana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leading sector),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Bappeda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penganggaran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Daerah (OPD)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Dinas PUPR, Dinas Kesehatan, dan Dinas Pendidikan.</w:t>
      </w:r>
    </w:p>
    <w:p w14:paraId="7EEE331B" w14:textId="77777777" w:rsidR="00D360BF" w:rsidRPr="00D360BF" w:rsidRDefault="00D360BF" w:rsidP="00D360BF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>Faktor Lingkungan: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internet dan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sosial-budaya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(SDM)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132B8C45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agar data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Thomas B. Smith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33AD9571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3.4 Metode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254AE4B9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Pengumpulan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45354A6C" w14:textId="77777777" w:rsidR="00D360BF" w:rsidRPr="00D360BF" w:rsidRDefault="00D360BF" w:rsidP="00D360B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In-Depth Interview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Dinas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Kominfo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Bappeda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OPD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purposif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keterlibatannya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Simbolon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(2024),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strategi para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semi-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yang kaya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2874FA6F" w14:textId="77777777" w:rsidR="00D360BF" w:rsidRPr="00D360BF" w:rsidRDefault="00D360BF" w:rsidP="00D360B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360B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digital di Kota Bandar Lampung,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command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center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loket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(2024)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otentik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gap</w:t>
      </w:r>
      <w:r w:rsidRPr="00D360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2AB84F10" w14:textId="77777777" w:rsidR="00D360BF" w:rsidRPr="00D360BF" w:rsidRDefault="00D360BF" w:rsidP="00D360BF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>Studi Dokumentasi:</w:t>
      </w:r>
      <w:r w:rsidRPr="00D360BF"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Daerah,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(LKJIP),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Dinas Kominfo,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masterplan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website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Wahyudi,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Widowati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Nugroho (2023),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memverifikasi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mengkroscek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kredibel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mengombinasikan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yang valid,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andal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Kota Bandar Lampung.</w:t>
      </w:r>
    </w:p>
    <w:p w14:paraId="7BBDF160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3.5 Metode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Pengujian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40E1E48A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keabsahan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trustworthiness</w:t>
      </w:r>
      <w:r w:rsidRPr="00D360BF">
        <w:rPr>
          <w:rFonts w:ascii="Times New Roman" w:hAnsi="Times New Roman" w:cs="Times New Roman"/>
          <w:sz w:val="24"/>
          <w:szCs w:val="24"/>
        </w:rPr>
        <w:t xml:space="preserve">)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Lincoln dan Guba (1985),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kredibilitas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transferabilitas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dependabilitas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konfirmabilitas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350954EE" w14:textId="77777777" w:rsidR="00D360BF" w:rsidRPr="00D360BF" w:rsidRDefault="00D360BF" w:rsidP="00D360B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Kredibilitas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Credibility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triangulasi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OPD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Nur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Sukmawati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(2023)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ulang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member check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mengonfirmasi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ditangkap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420BFD49" w14:textId="77777777" w:rsidR="00D360BF" w:rsidRPr="00D360BF" w:rsidRDefault="00D360BF" w:rsidP="00D360B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Transferabilitas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Transferability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Transferabilitas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yang kaya,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rinci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thick description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setting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ditransfer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6100B6A7" w14:textId="77777777" w:rsidR="00D360BF" w:rsidRPr="00D360BF" w:rsidRDefault="00D360BF" w:rsidP="00D360B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Dependabilitas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Dependability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Dependabilitas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data. Kriteri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audit trail</w:t>
      </w:r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terperinci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auditor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melacak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736C1C67" w14:textId="77777777" w:rsidR="00D360BF" w:rsidRPr="00D360BF" w:rsidRDefault="00D360BF" w:rsidP="00D360BF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Konfirmabilitas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Confirmability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Konfirmabilitas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data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bias,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dugaan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konfirmabilitas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refleksivitas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merefleksikan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posisionalitas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potensi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biasnya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objektivitas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audit trail.</w:t>
      </w:r>
    </w:p>
    <w:p w14:paraId="158A7F4D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Simbolon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(2024)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keaslian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kekokohan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sangat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7D426564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3.6 Metode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7738A4E9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interaktif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Miles dan Huberman (2014)</w:t>
      </w:r>
      <w:r w:rsidRPr="00D360BF">
        <w:rPr>
          <w:rFonts w:ascii="Times New Roman" w:hAnsi="Times New Roman" w:cs="Times New Roman"/>
          <w:sz w:val="24"/>
          <w:szCs w:val="24"/>
        </w:rPr>
        <w:t xml:space="preserve">. Model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siklikal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linier.</w:t>
      </w:r>
    </w:p>
    <w:p w14:paraId="531B7AF3" w14:textId="77777777" w:rsidR="00D360BF" w:rsidRPr="00D360BF" w:rsidRDefault="00D360BF" w:rsidP="00D360B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Reduksi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Data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Reduction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pemusatan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penyederhanaan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diseleksi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pada data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Thomas B. Smith.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mengorganisasikan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tersisa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6048A34D" w14:textId="77777777" w:rsidR="00D360BF" w:rsidRPr="00D360BF" w:rsidRDefault="00D360BF" w:rsidP="00D360B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Penyajian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Data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Data Display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direduksi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matriks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mengelompokkannya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Smith.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5DADB7CF" w14:textId="77777777" w:rsidR="00D360BF" w:rsidRPr="00D360BF" w:rsidRDefault="00D360BF" w:rsidP="00D360BF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Penarikan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Kesimpulan/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Verifikasi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Conclusion Drawing/Verification</w:t>
      </w:r>
      <w:r w:rsidRPr="00D360BF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360BF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Kesimpulan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lain (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mendiskusikannya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Kesimpulan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credible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2238A55C" w14:textId="722C7889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et al. (2024),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program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(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substantive theory</w:t>
      </w:r>
      <w:r w:rsidRPr="00D360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Kota Bandar Lampung.</w:t>
      </w:r>
    </w:p>
    <w:p w14:paraId="6A6EC56F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3.7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699225E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OPD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leading sector</w:t>
      </w:r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Dinas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Kominfo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Bappeda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OPD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diwawancarai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bentrok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internal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terdokumentasi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Wahyudi et al. (2023)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Smart City</w:t>
      </w:r>
      <w:r w:rsidRPr="00D360BF">
        <w:rPr>
          <w:rFonts w:ascii="Times New Roman" w:hAnsi="Times New Roman" w:cs="Times New Roman"/>
          <w:sz w:val="24"/>
          <w:szCs w:val="24"/>
        </w:rPr>
        <w:t xml:space="preserve"> di Bandung, di mana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2BC85155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Upaya </w:t>
      </w:r>
      <w:proofErr w:type="spellStart"/>
      <w:r w:rsidRPr="00D360BF">
        <w:rPr>
          <w:rFonts w:ascii="Times New Roman" w:hAnsi="Times New Roman" w:cs="Times New Roman"/>
          <w:b/>
          <w:bCs/>
          <w:sz w:val="24"/>
          <w:szCs w:val="24"/>
        </w:rPr>
        <w:t>triangulasi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diverifikasi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ulang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iteratif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valid,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lastRenderedPageBreak/>
        <w:t>banyak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</w:p>
    <w:p w14:paraId="1E36F384" w14:textId="2D12D765" w:rsidR="00D360BF" w:rsidRDefault="00D36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DE144F" w14:textId="28694361" w:rsidR="00D55B8D" w:rsidRDefault="00D360BF" w:rsidP="00D360B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0BF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2861F824" w14:textId="77777777" w:rsidR="00D360BF" w:rsidRDefault="00D360BF" w:rsidP="00D360BF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360BF">
        <w:rPr>
          <w:rFonts w:ascii="Times New Roman" w:hAnsi="Times New Roman" w:cs="Times New Roman"/>
          <w:sz w:val="24"/>
          <w:szCs w:val="24"/>
        </w:rPr>
        <w:t xml:space="preserve">Creswell, J. W. (2016).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Research design: Qualitative, quantitative, and mixed methods </w:t>
      </w:r>
      <w:proofErr w:type="gram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approaches</w:t>
      </w:r>
      <w:proofErr w:type="gramEnd"/>
      <w:r w:rsidRPr="00D360BF">
        <w:rPr>
          <w:rFonts w:ascii="Times New Roman" w:hAnsi="Times New Roman" w:cs="Times New Roman"/>
          <w:sz w:val="24"/>
          <w:szCs w:val="24"/>
        </w:rPr>
        <w:t xml:space="preserve"> (4th ed.). SAGE Publications.</w:t>
      </w:r>
      <w:r w:rsidRPr="00D360BF">
        <w:rPr>
          <w:rFonts w:ascii="Times New Roman" w:hAnsi="Times New Roman" w:cs="Times New Roman"/>
          <w:sz w:val="24"/>
          <w:szCs w:val="24"/>
        </w:rPr>
        <w:br/>
        <w:t xml:space="preserve">Lincoln, Y. S., &amp; Guba, E. G. (1985).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Naturalistic inquiry.</w:t>
      </w:r>
      <w:r w:rsidRPr="00D360BF">
        <w:rPr>
          <w:rFonts w:ascii="Times New Roman" w:hAnsi="Times New Roman" w:cs="Times New Roman"/>
          <w:sz w:val="24"/>
          <w:szCs w:val="24"/>
        </w:rPr>
        <w:t xml:space="preserve"> SAGE Publications.</w:t>
      </w:r>
      <w:r w:rsidRPr="00D360BF">
        <w:rPr>
          <w:rFonts w:ascii="Times New Roman" w:hAnsi="Times New Roman" w:cs="Times New Roman"/>
          <w:sz w:val="24"/>
          <w:szCs w:val="24"/>
        </w:rPr>
        <w:br/>
        <w:t xml:space="preserve">Miles, M. B., Huberman, A. M., &amp; Saldaña, J. (2014).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Qualitative data analysis: A methods </w:t>
      </w:r>
      <w:r w:rsidRPr="00D360BF">
        <w:rPr>
          <w:rFonts w:ascii="Times New Roman" w:hAnsi="Times New Roman" w:cs="Times New Roman"/>
          <w:sz w:val="24"/>
          <w:szCs w:val="24"/>
        </w:rPr>
        <w:t>sourcebook (3rd ed.). SAGE Publications.</w:t>
      </w:r>
    </w:p>
    <w:p w14:paraId="76100DF3" w14:textId="62C9E112" w:rsidR="00D360BF" w:rsidRDefault="00D360BF" w:rsidP="00D360BF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Moleong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L. J. (2019).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Metodologi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 Rosdakarya.</w:t>
      </w:r>
      <w:r w:rsidRPr="00D360BF">
        <w:rPr>
          <w:rFonts w:ascii="Times New Roman" w:hAnsi="Times New Roman" w:cs="Times New Roman"/>
          <w:sz w:val="24"/>
          <w:szCs w:val="24"/>
        </w:rPr>
        <w:br/>
        <w:t xml:space="preserve">Nur Sukmawati, E. T. Y., &amp; Karya Lestiyani, T. E. (2023).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Realisasi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Quick Win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terhadap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evaluasi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kebijakan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Smart City di Kota Jambi.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Fisip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Publik</w:t>
      </w:r>
      <w:r w:rsidRPr="00D360BF">
        <w:rPr>
          <w:rFonts w:ascii="Times New Roman" w:hAnsi="Times New Roman" w:cs="Times New Roman"/>
          <w:sz w:val="24"/>
          <w:szCs w:val="24"/>
        </w:rPr>
        <w:t xml:space="preserve">, 8(2), 145–160. </w:t>
      </w:r>
      <w:hyperlink r:id="rId6" w:history="1"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https://doi.org/10.24903/fpb.v8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2.2638</w:t>
        </w:r>
      </w:hyperlink>
    </w:p>
    <w:p w14:paraId="14E92012" w14:textId="59CD2103" w:rsidR="00D360BF" w:rsidRDefault="00D360BF" w:rsidP="00D360BF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F. N.,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Basori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Y. F., &amp;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Purwanti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D. (2024).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Implementation of smart governance in the smart city program at the communication and informatics office in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Sukabumi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Publisia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Administrasi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Publik</w:t>
      </w:r>
      <w:r w:rsidRPr="00D360BF">
        <w:rPr>
          <w:rFonts w:ascii="Times New Roman" w:hAnsi="Times New Roman" w:cs="Times New Roman"/>
          <w:sz w:val="24"/>
          <w:szCs w:val="24"/>
        </w:rPr>
        <w:t xml:space="preserve">, 9(2), 141–155. </w:t>
      </w:r>
      <w:hyperlink r:id="rId7" w:history="1"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https://doi.org/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0.26905/pjiap.v9i2.13753</w:t>
        </w:r>
      </w:hyperlink>
    </w:p>
    <w:p w14:paraId="402BA9B3" w14:textId="45D37372" w:rsidR="00D360BF" w:rsidRDefault="00D360BF" w:rsidP="00D360BF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Simbolon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Maigoda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T. C.,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Meriwati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Efrida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Yunita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Widiastuti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H. (2024).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Policy implementation to accelerate stunting reduction: A qualitative study.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Indonesian Journal of Health Administration (JAKI)</w:t>
      </w:r>
      <w:r w:rsidRPr="00D360BF">
        <w:rPr>
          <w:rFonts w:ascii="Times New Roman" w:hAnsi="Times New Roman" w:cs="Times New Roman"/>
          <w:sz w:val="24"/>
          <w:szCs w:val="24"/>
        </w:rPr>
        <w:t xml:space="preserve">, 12(2), 270–279. </w:t>
      </w:r>
      <w:hyperlink r:id="rId8" w:history="1"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https://doi.org/10.20473/jaki.v12i2.2024.27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-279</w:t>
        </w:r>
      </w:hyperlink>
    </w:p>
    <w:p w14:paraId="0F87ED34" w14:textId="6C913899" w:rsidR="00D360BF" w:rsidRDefault="00D360BF" w:rsidP="00D360BF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360BF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. (2022).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Metode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kualitatif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kuantitatif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>, dan R&amp;D.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>.</w:t>
      </w:r>
      <w:r w:rsidRPr="00D360BF">
        <w:rPr>
          <w:rFonts w:ascii="Times New Roman" w:hAnsi="Times New Roman" w:cs="Times New Roman"/>
          <w:sz w:val="24"/>
          <w:szCs w:val="24"/>
        </w:rPr>
        <w:br/>
        <w:t xml:space="preserve">Wahyudi, A. A., </w:t>
      </w:r>
      <w:proofErr w:type="spellStart"/>
      <w:r w:rsidRPr="00D360BF">
        <w:rPr>
          <w:rFonts w:ascii="Times New Roman" w:hAnsi="Times New Roman" w:cs="Times New Roman"/>
          <w:sz w:val="24"/>
          <w:szCs w:val="24"/>
        </w:rPr>
        <w:t>Widowati</w:t>
      </w:r>
      <w:proofErr w:type="spellEnd"/>
      <w:r w:rsidRPr="00D360BF">
        <w:rPr>
          <w:rFonts w:ascii="Times New Roman" w:hAnsi="Times New Roman" w:cs="Times New Roman"/>
          <w:sz w:val="24"/>
          <w:szCs w:val="24"/>
        </w:rPr>
        <w:t xml:space="preserve">, Y. R., &amp; Nugroho, A. A. (2023).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Strategi </w:t>
      </w:r>
      <w:proofErr w:type="spellStart"/>
      <w:r w:rsidRPr="00D360BF">
        <w:rPr>
          <w:rFonts w:ascii="Times New Roman" w:hAnsi="Times New Roman" w:cs="Times New Roman"/>
          <w:i/>
          <w:iCs/>
          <w:sz w:val="24"/>
          <w:szCs w:val="24"/>
        </w:rPr>
        <w:t>implementasi</w:t>
      </w:r>
      <w:proofErr w:type="spellEnd"/>
      <w:r w:rsidRPr="00D360BF">
        <w:rPr>
          <w:rFonts w:ascii="Times New Roman" w:hAnsi="Times New Roman" w:cs="Times New Roman"/>
          <w:i/>
          <w:iCs/>
          <w:sz w:val="24"/>
          <w:szCs w:val="24"/>
        </w:rPr>
        <w:t xml:space="preserve"> Smart City Kota Bandung.</w:t>
      </w:r>
      <w:r w:rsidRPr="00D360BF">
        <w:rPr>
          <w:rFonts w:ascii="Times New Roman" w:hAnsi="Times New Roman" w:cs="Times New Roman"/>
          <w:sz w:val="24"/>
          <w:szCs w:val="24"/>
        </w:rPr>
        <w:t xml:space="preserve"> </w:t>
      </w:r>
      <w:r w:rsidRPr="00D360BF">
        <w:rPr>
          <w:rFonts w:ascii="Times New Roman" w:hAnsi="Times New Roman" w:cs="Times New Roman"/>
          <w:i/>
          <w:iCs/>
          <w:sz w:val="24"/>
          <w:szCs w:val="24"/>
        </w:rPr>
        <w:t>Governance and Government Journal</w:t>
      </w:r>
      <w:r w:rsidRPr="00D360BF">
        <w:rPr>
          <w:rFonts w:ascii="Times New Roman" w:hAnsi="Times New Roman" w:cs="Times New Roman"/>
          <w:sz w:val="24"/>
          <w:szCs w:val="24"/>
        </w:rPr>
        <w:t xml:space="preserve">, 18(1), 45–60. </w:t>
      </w:r>
      <w:hyperlink r:id="rId9" w:history="1"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https://doi.org/10.32834/gg.v18i1.46</w:t>
        </w:r>
        <w:r w:rsidRPr="00B70A1E">
          <w:rPr>
            <w:rStyle w:val="Hyperlink"/>
            <w:rFonts w:ascii="Times New Roman" w:hAnsi="Times New Roman" w:cs="Times New Roman"/>
            <w:sz w:val="24"/>
            <w:szCs w:val="24"/>
          </w:rPr>
          <w:t>0</w:t>
        </w:r>
      </w:hyperlink>
    </w:p>
    <w:p w14:paraId="6A189952" w14:textId="77777777" w:rsidR="00D360BF" w:rsidRPr="00D360BF" w:rsidRDefault="00D360BF" w:rsidP="00D360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360BF" w:rsidRPr="00D36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F81"/>
    <w:multiLevelType w:val="multilevel"/>
    <w:tmpl w:val="B8B8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511"/>
    <w:multiLevelType w:val="multilevel"/>
    <w:tmpl w:val="AF7E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E5ABD"/>
    <w:multiLevelType w:val="multilevel"/>
    <w:tmpl w:val="9716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C0ADF"/>
    <w:multiLevelType w:val="multilevel"/>
    <w:tmpl w:val="5B7C1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560DC"/>
    <w:multiLevelType w:val="multilevel"/>
    <w:tmpl w:val="4976C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120E0"/>
    <w:multiLevelType w:val="multilevel"/>
    <w:tmpl w:val="B546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D4916"/>
    <w:multiLevelType w:val="multilevel"/>
    <w:tmpl w:val="26D6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B49AF"/>
    <w:multiLevelType w:val="multilevel"/>
    <w:tmpl w:val="1728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1778B"/>
    <w:multiLevelType w:val="multilevel"/>
    <w:tmpl w:val="DF14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624C2E"/>
    <w:multiLevelType w:val="multilevel"/>
    <w:tmpl w:val="A4E46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423D8"/>
    <w:multiLevelType w:val="multilevel"/>
    <w:tmpl w:val="BF7A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89172">
    <w:abstractNumId w:val="1"/>
  </w:num>
  <w:num w:numId="2" w16cid:durableId="689919406">
    <w:abstractNumId w:val="5"/>
  </w:num>
  <w:num w:numId="3" w16cid:durableId="75369851">
    <w:abstractNumId w:val="6"/>
  </w:num>
  <w:num w:numId="4" w16cid:durableId="1424257974">
    <w:abstractNumId w:val="9"/>
  </w:num>
  <w:num w:numId="5" w16cid:durableId="1920363550">
    <w:abstractNumId w:val="2"/>
  </w:num>
  <w:num w:numId="6" w16cid:durableId="254748991">
    <w:abstractNumId w:val="8"/>
  </w:num>
  <w:num w:numId="7" w16cid:durableId="1968775027">
    <w:abstractNumId w:val="7"/>
  </w:num>
  <w:num w:numId="8" w16cid:durableId="911818818">
    <w:abstractNumId w:val="10"/>
  </w:num>
  <w:num w:numId="9" w16cid:durableId="283736410">
    <w:abstractNumId w:val="3"/>
  </w:num>
  <w:num w:numId="10" w16cid:durableId="436029247">
    <w:abstractNumId w:val="4"/>
  </w:num>
  <w:num w:numId="11" w16cid:durableId="196719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8D"/>
    <w:rsid w:val="00117442"/>
    <w:rsid w:val="001C7503"/>
    <w:rsid w:val="0046073E"/>
    <w:rsid w:val="0047237D"/>
    <w:rsid w:val="006D3987"/>
    <w:rsid w:val="009B7D71"/>
    <w:rsid w:val="00D360BF"/>
    <w:rsid w:val="00D55B8D"/>
    <w:rsid w:val="00E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F5D5"/>
  <w15:chartTrackingRefBased/>
  <w15:docId w15:val="{2F9037A8-47B7-4E0A-8C69-FAFDCED6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8D"/>
  </w:style>
  <w:style w:type="paragraph" w:styleId="Heading1">
    <w:name w:val="heading 1"/>
    <w:basedOn w:val="Normal"/>
    <w:next w:val="Normal"/>
    <w:link w:val="Heading1Char"/>
    <w:uiPriority w:val="9"/>
    <w:qFormat/>
    <w:rsid w:val="00D55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B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B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B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B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B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0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0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0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473/jaki.v12i2.2024.270-2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6905/pjiap.v9i2.137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4903/fpb.v8i2.263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834/gg.v18i1.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2723</Words>
  <Characters>15524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S5N0CX08B286219@outlook.com</dc:creator>
  <cp:keywords/>
  <dc:description/>
  <cp:lastModifiedBy>S5N0CX08B286219@outlook.com</cp:lastModifiedBy>
  <cp:revision>2</cp:revision>
  <dcterms:created xsi:type="dcterms:W3CDTF">2025-10-08T02:34:00Z</dcterms:created>
  <dcterms:modified xsi:type="dcterms:W3CDTF">2025-10-08T03:04:00Z</dcterms:modified>
</cp:coreProperties>
</file>