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39" w:rsidRDefault="00FE2C19" w:rsidP="00FE2C19">
      <w:pPr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FE2C19">
        <w:rPr>
          <w:rFonts w:ascii="Times New Roman" w:hAnsi="Times New Roman" w:cs="Times New Roman"/>
          <w:b/>
          <w:sz w:val="36"/>
          <w:szCs w:val="36"/>
          <w:lang w:val="id-ID"/>
        </w:rPr>
        <w:t>TUGAS</w:t>
      </w:r>
    </w:p>
    <w:p w:rsidR="00FE2C19" w:rsidRPr="00FE2C19" w:rsidRDefault="00FE2C19" w:rsidP="00FE2C19">
      <w:pPr>
        <w:jc w:val="center"/>
        <w:rPr>
          <w:rFonts w:ascii="Times New Roman" w:hAnsi="Times New Roman" w:cs="Times New Roman"/>
          <w:b/>
          <w:lang w:val="id-ID"/>
        </w:rPr>
      </w:pPr>
    </w:p>
    <w:p w:rsidR="00FE2C19" w:rsidRPr="00954201" w:rsidRDefault="00FE2C19" w:rsidP="00FE2C19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954201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954201">
        <w:rPr>
          <w:rFonts w:ascii="Times New Roman" w:hAnsi="Times New Roman" w:cs="Times New Roman"/>
          <w:sz w:val="24"/>
          <w:szCs w:val="24"/>
          <w:lang w:val="id-ID"/>
        </w:rPr>
        <w:tab/>
        <w:t>: AZRIL SYAPUTRA SUNGKAI</w:t>
      </w:r>
    </w:p>
    <w:p w:rsidR="00FE2C19" w:rsidRPr="00954201" w:rsidRDefault="00FE2C19" w:rsidP="00FE2C19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954201">
        <w:rPr>
          <w:rFonts w:ascii="Times New Roman" w:hAnsi="Times New Roman" w:cs="Times New Roman"/>
          <w:sz w:val="24"/>
          <w:szCs w:val="24"/>
          <w:lang w:val="id-ID"/>
        </w:rPr>
        <w:t>NPM</w:t>
      </w:r>
      <w:r w:rsidRPr="0095420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54201">
        <w:rPr>
          <w:rFonts w:ascii="Times New Roman" w:hAnsi="Times New Roman" w:cs="Times New Roman"/>
          <w:sz w:val="24"/>
          <w:szCs w:val="24"/>
          <w:lang w:val="id-ID"/>
        </w:rPr>
        <w:tab/>
        <w:t>: 2052011006</w:t>
      </w:r>
    </w:p>
    <w:p w:rsidR="00FE2C19" w:rsidRPr="00954201" w:rsidRDefault="00FE2C19" w:rsidP="00FE2C19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E12606" w:rsidRDefault="0058590E" w:rsidP="004D36DB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id-ID"/>
        </w:rPr>
        <w:t>Keputusan hakim</w:t>
      </w:r>
      <w:r w:rsidR="005E5DC3">
        <w:rPr>
          <w:rFonts w:ascii="Times New Roman" w:hAnsi="Times New Roman" w:cs="Times New Roman"/>
          <w:sz w:val="24"/>
          <w:szCs w:val="24"/>
          <w:lang w:val="id-ID"/>
        </w:rPr>
        <w:t xml:space="preserve"> terhadap tindak pidana pembakaran hutan dan lahan putusan Nomor 89/Pid.B/2014</w:t>
      </w:r>
      <w:r w:rsidR="00BE24B9">
        <w:rPr>
          <w:rFonts w:ascii="Times New Roman" w:hAnsi="Times New Roman" w:cs="Times New Roman"/>
          <w:sz w:val="24"/>
          <w:szCs w:val="24"/>
          <w:lang w:val="id-ID"/>
        </w:rPr>
        <w:t>/Pn</w:t>
      </w:r>
      <w:r w:rsidR="00DD6E7A">
        <w:rPr>
          <w:rFonts w:ascii="Times New Roman" w:hAnsi="Times New Roman" w:cs="Times New Roman"/>
          <w:sz w:val="24"/>
          <w:szCs w:val="24"/>
          <w:lang w:val="id-ID"/>
        </w:rPr>
        <w:t>.Siak</w:t>
      </w:r>
      <w:r w:rsidR="000D16DB">
        <w:rPr>
          <w:rFonts w:ascii="Times New Roman" w:hAnsi="Times New Roman" w:cs="Times New Roman"/>
          <w:sz w:val="24"/>
          <w:szCs w:val="24"/>
          <w:lang w:val="id-ID"/>
        </w:rPr>
        <w:t>. P</w:t>
      </w:r>
      <w:r w:rsidR="00227645">
        <w:rPr>
          <w:rFonts w:ascii="Times New Roman" w:hAnsi="Times New Roman" w:cs="Times New Roman"/>
          <w:sz w:val="24"/>
          <w:szCs w:val="24"/>
          <w:lang w:val="id-ID"/>
        </w:rPr>
        <w:t xml:space="preserve">ebakaran </w:t>
      </w:r>
      <w:r w:rsidR="00DD2578">
        <w:rPr>
          <w:rFonts w:ascii="Times New Roman" w:hAnsi="Times New Roman" w:cs="Times New Roman"/>
          <w:sz w:val="24"/>
          <w:szCs w:val="24"/>
          <w:lang w:val="id-ID"/>
        </w:rPr>
        <w:t xml:space="preserve">hutan dan lahan akan mengakibatkan terjadinya kerusakan dan pencemaran lingkungan hidup, seperti kerusakan dan pencemaran lingkungan hidup, seperti </w:t>
      </w:r>
      <w:r w:rsidR="00DD2578">
        <w:rPr>
          <w:rFonts w:ascii="Times New Roman" w:hAnsi="Times New Roman" w:cs="Times New Roman"/>
          <w:i/>
          <w:sz w:val="24"/>
          <w:szCs w:val="24"/>
          <w:lang w:val="id-ID"/>
        </w:rPr>
        <w:t xml:space="preserve">flora </w:t>
      </w:r>
      <w:r w:rsidR="00DD2578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="00DD2578">
        <w:rPr>
          <w:rFonts w:ascii="Times New Roman" w:hAnsi="Times New Roman" w:cs="Times New Roman"/>
          <w:i/>
          <w:sz w:val="24"/>
          <w:szCs w:val="24"/>
          <w:lang w:val="id-ID"/>
        </w:rPr>
        <w:t xml:space="preserve">fauna, </w:t>
      </w:r>
      <w:r w:rsidR="00DD2578">
        <w:rPr>
          <w:rFonts w:ascii="Times New Roman" w:hAnsi="Times New Roman" w:cs="Times New Roman"/>
          <w:sz w:val="24"/>
          <w:szCs w:val="24"/>
          <w:lang w:val="id-ID"/>
        </w:rPr>
        <w:t>tanah,dan air</w:t>
      </w:r>
      <w:r w:rsidR="00BE24B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12606">
        <w:rPr>
          <w:rFonts w:ascii="Times New Roman" w:hAnsi="Times New Roman" w:cs="Times New Roman"/>
          <w:sz w:val="24"/>
          <w:szCs w:val="24"/>
          <w:lang w:val="id-ID"/>
        </w:rPr>
        <w:t>jika melakukan secara sengaja pembakaran hutan dan lahan akan terjadi tindak pidana</w:t>
      </w:r>
      <w:r w:rsidR="00DD2578">
        <w:rPr>
          <w:rFonts w:ascii="Times New Roman" w:hAnsi="Times New Roman" w:cs="Times New Roman"/>
          <w:sz w:val="24"/>
          <w:szCs w:val="24"/>
          <w:lang w:val="id-ID"/>
        </w:rPr>
        <w:t xml:space="preserve">. Pembakaran hutan secara umum disebabkan oleh dua faktor. Pertama, karena faktor kelalaian </w:t>
      </w:r>
      <w:r w:rsidR="00BE24B9">
        <w:rPr>
          <w:rFonts w:ascii="Times New Roman" w:hAnsi="Times New Roman" w:cs="Times New Roman"/>
          <w:sz w:val="24"/>
          <w:szCs w:val="24"/>
          <w:lang w:val="id-ID"/>
        </w:rPr>
        <w:t>manusia yang</w:t>
      </w:r>
      <w:r w:rsidR="000D16DB">
        <w:rPr>
          <w:rFonts w:ascii="Times New Roman" w:hAnsi="Times New Roman" w:cs="Times New Roman"/>
          <w:sz w:val="24"/>
          <w:szCs w:val="24"/>
          <w:lang w:val="id-ID"/>
        </w:rPr>
        <w:t xml:space="preserve"> sedang melakukan aktivitas di dalam hutan. Kedua, kerena faktor kesengajaan, yaitu faktor yang mebuka lahan dan hutan</w:t>
      </w:r>
      <w:r w:rsidR="00BE24B9">
        <w:rPr>
          <w:rFonts w:ascii="Times New Roman" w:hAnsi="Times New Roman" w:cs="Times New Roman"/>
          <w:sz w:val="24"/>
          <w:szCs w:val="24"/>
          <w:lang w:val="id-ID"/>
        </w:rPr>
        <w:t xml:space="preserve"> dengan cara memba</w:t>
      </w:r>
      <w:r w:rsidR="000D16DB">
        <w:rPr>
          <w:rFonts w:ascii="Times New Roman" w:hAnsi="Times New Roman" w:cs="Times New Roman"/>
          <w:sz w:val="24"/>
          <w:szCs w:val="24"/>
          <w:lang w:val="id-ID"/>
        </w:rPr>
        <w:t>kar</w:t>
      </w:r>
      <w:r w:rsidR="00BE24B9">
        <w:rPr>
          <w:rFonts w:ascii="Times New Roman" w:hAnsi="Times New Roman" w:cs="Times New Roman"/>
          <w:sz w:val="24"/>
          <w:szCs w:val="24"/>
          <w:lang w:val="id-ID"/>
        </w:rPr>
        <w:t xml:space="preserve"> oleh sebab itu timbul keputusan hakim Nomor 89/Pid./2014/Pn.Siak</w:t>
      </w:r>
      <w:r w:rsidR="000D16DB">
        <w:rPr>
          <w:rFonts w:ascii="Times New Roman" w:hAnsi="Times New Roman" w:cs="Times New Roman"/>
          <w:sz w:val="24"/>
          <w:szCs w:val="24"/>
          <w:lang w:val="id-ID"/>
        </w:rPr>
        <w:t>. Penelitian ini bertujuan untuk mengetahui pengturan tindak pidana pembakaran hutan dan lahan hukum pidana indonesia dan mengevaluasi pertimbangan hakim dalam memutuskan perkara</w:t>
      </w:r>
      <w:r w:rsidR="00BE24B9">
        <w:rPr>
          <w:rFonts w:ascii="Times New Roman" w:hAnsi="Times New Roman" w:cs="Times New Roman"/>
          <w:sz w:val="24"/>
          <w:szCs w:val="24"/>
          <w:lang w:val="id-ID"/>
        </w:rPr>
        <w:t xml:space="preserve"> pembakaran hutan dan lahan dalam putusan Nomor 89/Pid. B/2014/Pn.Siak</w:t>
      </w:r>
    </w:p>
    <w:p w:rsidR="00E12606" w:rsidRDefault="00E12606" w:rsidP="004D36DB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12606" w:rsidRDefault="00E12606" w:rsidP="004D36DB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Penelitian ini merupakan penelitian hukum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normatif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yang bersifat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preskriptif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teknis </w:t>
      </w:r>
      <w:r>
        <w:rPr>
          <w:rFonts w:ascii="Times New Roman" w:hAnsi="Times New Roman" w:cs="Times New Roman"/>
          <w:sz w:val="24"/>
          <w:szCs w:val="24"/>
          <w:lang w:val="id-ID"/>
        </w:rPr>
        <w:t>atau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terapan.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Pendekatan ini menggunan undang-undang dan pendekatan kasus. Jenis data penelitian menggunakan adalah data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sekunder </w:t>
      </w:r>
      <w:r>
        <w:rPr>
          <w:rFonts w:ascii="Times New Roman" w:hAnsi="Times New Roman" w:cs="Times New Roman"/>
          <w:sz w:val="24"/>
          <w:szCs w:val="24"/>
          <w:lang w:val="id-ID"/>
        </w:rPr>
        <w:t>dengan bahan hukum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primer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teknik data analisis data yang bersifat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deduksi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metode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silogisme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.</w:t>
      </w:r>
    </w:p>
    <w:p w:rsidR="00E12606" w:rsidRDefault="00E12606" w:rsidP="004D36DB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6CD8" w:rsidRDefault="00E12606" w:rsidP="004D36DB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Pengaturan pidana pembakaran hutan dan laha</w:t>
      </w:r>
      <w:r w:rsidR="00796CD8">
        <w:rPr>
          <w:rFonts w:ascii="Times New Roman" w:hAnsi="Times New Roman" w:cs="Times New Roman"/>
          <w:sz w:val="24"/>
          <w:szCs w:val="24"/>
          <w:lang w:val="id-ID"/>
        </w:rPr>
        <w:t>n secara khusus terdapat dalam Udang-U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ndang Nomer 41 Tahun 1999 </w:t>
      </w:r>
      <w:r w:rsidR="00796CD8">
        <w:rPr>
          <w:rFonts w:ascii="Times New Roman" w:hAnsi="Times New Roman" w:cs="Times New Roman"/>
          <w:sz w:val="24"/>
          <w:szCs w:val="24"/>
          <w:lang w:val="id-ID"/>
        </w:rPr>
        <w:t>tentang kehutanan, Undang-Undang  Nomer 32 Tahun 2009 tentang Perlindungan dan Pengolahan Lingkungan Hidup, dan Udang-Undang Nomor 39 Tahun 2014 tentang Perkebunan. Putusan hakim dalam perkara Nomor 89/pid.B/2014/Pn.Siak sudah tepat dalam penerapan pasalnya, namun penulisan tidak sependapat dengan penjatuhan sanksi pidana dan pertimbangan sosiologi majelis hakim.</w:t>
      </w:r>
    </w:p>
    <w:p w:rsidR="00796CD8" w:rsidRDefault="00796CD8" w:rsidP="004D36DB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12606" w:rsidRPr="00E12606" w:rsidRDefault="00796CD8" w:rsidP="004D36DB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Kata kunci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Tindak Pidanan Pembakaran Hutan dan Lahan, Peraturan Pidana Pembakaran Hutan dan Lahan.</w:t>
      </w:r>
      <w:r w:rsidR="00E1260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bookmarkEnd w:id="0"/>
    </w:p>
    <w:sectPr w:rsidR="00E12606" w:rsidRPr="00E12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19"/>
    <w:rsid w:val="000D16DB"/>
    <w:rsid w:val="00227645"/>
    <w:rsid w:val="004D36DB"/>
    <w:rsid w:val="0058590E"/>
    <w:rsid w:val="005E5DC3"/>
    <w:rsid w:val="00796CD8"/>
    <w:rsid w:val="00954201"/>
    <w:rsid w:val="00BE24B9"/>
    <w:rsid w:val="00DD2578"/>
    <w:rsid w:val="00DD6E7A"/>
    <w:rsid w:val="00E12606"/>
    <w:rsid w:val="00EC1439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2020-12-08T01:06:00Z</dcterms:created>
  <dcterms:modified xsi:type="dcterms:W3CDTF">2020-12-08T03:08:00Z</dcterms:modified>
</cp:coreProperties>
</file>