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1991" w:rsidRDefault="00391991">
      <w:proofErr w:type="spellStart"/>
      <w:r>
        <w:t>Nama:Nadia</w:t>
      </w:r>
      <w:proofErr w:type="spellEnd"/>
      <w:r>
        <w:t xml:space="preserve"> Evika Suri</w:t>
      </w:r>
    </w:p>
    <w:p w:rsidR="00391991" w:rsidRDefault="00391991">
      <w:r>
        <w:t>Npm:2052011042</w:t>
      </w:r>
    </w:p>
    <w:p w:rsidR="00391991" w:rsidRDefault="00391991">
      <w:r>
        <w:t xml:space="preserve">       </w:t>
      </w:r>
      <w:r w:rsidR="000F630E">
        <w:t>ABSTRAK</w:t>
      </w:r>
      <w:r w:rsidR="006D7B1F">
        <w:t xml:space="preserve"> </w:t>
      </w:r>
    </w:p>
    <w:p w:rsidR="008B08C8" w:rsidRDefault="008B08C8">
      <w:r w:rsidRPr="008B08C8">
        <w:t xml:space="preserve">Pemerintah Indonesia telah menetapkan </w:t>
      </w:r>
      <w:proofErr w:type="spellStart"/>
      <w:r w:rsidRPr="008B08C8">
        <w:t>Undang-Undang</w:t>
      </w:r>
      <w:proofErr w:type="spellEnd"/>
      <w:r w:rsidRPr="008B08C8">
        <w:t xml:space="preserve"> Pemajuan Kebudayaan sebagai bentuk penjelmaan kepercayaan yang diberikan oleh Konstitusi Indonesia kepada negara untuk menjadi pelaksanaan pemajuan kebudayaan Indonesia. UU tersebut merupakan pedoman serta cita-cita Pemerintah Indonesia dan </w:t>
      </w:r>
      <w:proofErr w:type="spellStart"/>
      <w:r w:rsidRPr="008B08C8">
        <w:t>masyrakat</w:t>
      </w:r>
      <w:proofErr w:type="spellEnd"/>
      <w:r w:rsidRPr="008B08C8">
        <w:t xml:space="preserve"> dalam upaya pelaksanaan pemajuan kebudayaan dengan tujuan sebagai petunjuk dalam mengembangkan, menggunakan, mempromosikan, menjaga dan melestarikan kebudayaan Indonesia </w:t>
      </w:r>
      <w:proofErr w:type="spellStart"/>
      <w:r w:rsidRPr="008B08C8">
        <w:t>dihadapan</w:t>
      </w:r>
      <w:proofErr w:type="spellEnd"/>
      <w:r w:rsidRPr="008B08C8">
        <w:t xml:space="preserve"> globalisasi dan digitalisasi dunia kebudayaan. UU ini harus mampu menyediakan lingkungan yang memadai guna mendorong pemajuan kebudayaan. Layaknya suatu orkestra menghasilkan simfoni yang indah, hukum kekayaan intelektual dan hukum pemajuan kebudayaan juga merupakan simfoni peraturan dalam mewujudkan pemajuan kebudayaan Indonesia guna memberikan kontribusi penting dalam kehidupan manusia. Artikel ini akan membahas bagaimana cara </w:t>
      </w:r>
      <w:proofErr w:type="spellStart"/>
      <w:r w:rsidRPr="008B08C8">
        <w:t>simfonisasi</w:t>
      </w:r>
      <w:proofErr w:type="spellEnd"/>
      <w:r w:rsidRPr="008B08C8">
        <w:t xml:space="preserve"> hukum kekayaan intelektual dilaksanakan dalam perspektif  doktrin hukum.</w:t>
      </w:r>
    </w:p>
    <w:sectPr w:rsidR="008B08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91"/>
    <w:rsid w:val="000F630E"/>
    <w:rsid w:val="00391991"/>
    <w:rsid w:val="006D7B1F"/>
    <w:rsid w:val="008B08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E161FE0"/>
  <w15:chartTrackingRefBased/>
  <w15:docId w15:val="{D6C66F88-08D9-7E48-B9B1-3C12A141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Pengguna Tamu</dc:creator>
  <cp:keywords/>
  <dc:description/>
  <cp:lastModifiedBy>Pengguna Tamu</cp:lastModifiedBy>
  <cp:revision>3</cp:revision>
  <dcterms:created xsi:type="dcterms:W3CDTF">2020-12-07T07:39:00Z</dcterms:created>
  <dcterms:modified xsi:type="dcterms:W3CDTF">2020-12-07T07:40:00Z</dcterms:modified>
</cp:coreProperties>
</file>