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D3" w:rsidRDefault="002C11D3">
      <w:pPr>
        <w:autoSpaceDE w:val="0"/>
        <w:autoSpaceDN w:val="0"/>
        <w:ind w:left="284"/>
        <w:rPr>
          <w:rFonts w:ascii="Calibri" w:hAnsi="Calibri"/>
          <w:bCs/>
          <w:iCs/>
          <w:kern w:val="28"/>
          <w:sz w:val="22"/>
          <w:szCs w:val="22"/>
          <w:lang w:val="id-ID"/>
        </w:rPr>
      </w:pP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31"/>
        <w:gridCol w:w="1276"/>
        <w:gridCol w:w="255"/>
        <w:gridCol w:w="844"/>
        <w:gridCol w:w="602"/>
        <w:gridCol w:w="1843"/>
        <w:gridCol w:w="283"/>
        <w:gridCol w:w="551"/>
        <w:gridCol w:w="10"/>
        <w:gridCol w:w="6"/>
        <w:gridCol w:w="1843"/>
        <w:gridCol w:w="283"/>
        <w:gridCol w:w="1134"/>
        <w:gridCol w:w="851"/>
        <w:gridCol w:w="1701"/>
        <w:gridCol w:w="573"/>
        <w:gridCol w:w="1134"/>
      </w:tblGrid>
      <w:tr w:rsidR="002C11D3">
        <w:tc>
          <w:tcPr>
            <w:tcW w:w="2269" w:type="dxa"/>
            <w:gridSpan w:val="2"/>
            <w:shd w:val="clear" w:color="auto" w:fill="DAEEF3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71755</wp:posOffset>
                  </wp:positionV>
                  <wp:extent cx="762000" cy="751205"/>
                  <wp:effectExtent l="0" t="0" r="0" b="0"/>
                  <wp:wrapNone/>
                  <wp:docPr id="4" name="Picture 4" descr="Berkas:Logo UnivLampung.png - Wikipedia bahasa Indones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erkas:Logo UnivLampung.png - Wikipedia bahasa Indones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1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1482" w:type="dxa"/>
            <w:gridSpan w:val="14"/>
            <w:shd w:val="clear" w:color="auto" w:fill="DAEEF3"/>
          </w:tcPr>
          <w:p w:rsidR="002C11D3" w:rsidRDefault="001943BC">
            <w:pPr>
              <w:autoSpaceDE w:val="0"/>
              <w:autoSpaceDN w:val="0"/>
              <w:spacing w:after="120"/>
              <w:jc w:val="center"/>
              <w:rPr>
                <w:rFonts w:ascii="Cambria" w:hAnsi="Cambria" w:cs="Calibri"/>
                <w:b/>
                <w:bCs/>
                <w:sz w:val="32"/>
                <w:szCs w:val="32"/>
              </w:rPr>
            </w:pPr>
            <w:r>
              <w:rPr>
                <w:rFonts w:ascii="Cambria" w:hAnsi="Cambria" w:cs="Calibri"/>
                <w:b/>
                <w:bCs/>
                <w:sz w:val="32"/>
                <w:szCs w:val="32"/>
              </w:rPr>
              <w:t>UNIVERSITAS LAMPUNG</w:t>
            </w:r>
          </w:p>
          <w:p w:rsidR="002C11D3" w:rsidRDefault="001943BC">
            <w:pPr>
              <w:autoSpaceDE w:val="0"/>
              <w:autoSpaceDN w:val="0"/>
              <w:spacing w:after="120"/>
              <w:jc w:val="center"/>
              <w:rPr>
                <w:rFonts w:ascii="Cambria" w:hAnsi="Cambria" w:cs="Calibri"/>
                <w:b/>
                <w:bCs/>
                <w:sz w:val="32"/>
                <w:szCs w:val="32"/>
              </w:rPr>
            </w:pPr>
            <w:r>
              <w:rPr>
                <w:rFonts w:ascii="Cambria" w:hAnsi="Cambria" w:cs="Calibri"/>
                <w:b/>
                <w:bCs/>
                <w:sz w:val="32"/>
                <w:szCs w:val="32"/>
              </w:rPr>
              <w:t>FAKULTAS EKONOMI DAN BISNIS</w:t>
            </w:r>
          </w:p>
          <w:p w:rsidR="002C11D3" w:rsidRDefault="001943BC">
            <w:pPr>
              <w:autoSpaceDE w:val="0"/>
              <w:autoSpaceDN w:val="0"/>
              <w:spacing w:after="120"/>
              <w:jc w:val="center"/>
              <w:rPr>
                <w:rFonts w:ascii="Cambria" w:hAnsi="Cambria" w:cs="Calibri"/>
                <w:b/>
                <w:sz w:val="32"/>
                <w:szCs w:val="32"/>
              </w:rPr>
            </w:pPr>
            <w:r>
              <w:rPr>
                <w:rFonts w:ascii="Cambria" w:hAnsi="Cambria" w:cs="Calibri"/>
                <w:b/>
                <w:bCs/>
                <w:sz w:val="32"/>
                <w:szCs w:val="32"/>
              </w:rPr>
              <w:t>PROGRAM STUDI S1 BISNIS DIGITAL</w:t>
            </w:r>
          </w:p>
        </w:tc>
        <w:tc>
          <w:tcPr>
            <w:tcW w:w="1707" w:type="dxa"/>
            <w:gridSpan w:val="2"/>
            <w:shd w:val="clear" w:color="auto" w:fill="DAEEF3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 w:val="22"/>
                <w:szCs w:val="22"/>
              </w:rPr>
              <w:t>Kode</w:t>
            </w:r>
            <w:proofErr w:type="spellEnd"/>
            <w:r>
              <w:rPr>
                <w:rFonts w:ascii="Cambria" w:hAnsi="Cambria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2"/>
                <w:szCs w:val="22"/>
              </w:rPr>
              <w:t>Dokumen</w:t>
            </w:r>
            <w:proofErr w:type="spellEnd"/>
          </w:p>
          <w:p w:rsidR="002C11D3" w:rsidRDefault="002C11D3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2C11D3" w:rsidRDefault="002C11D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C11D3">
        <w:tc>
          <w:tcPr>
            <w:tcW w:w="15458" w:type="dxa"/>
            <w:gridSpan w:val="18"/>
            <w:shd w:val="clear" w:color="auto" w:fill="DAEEF3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mbria" w:hAnsi="Cambria" w:cs="Calibri"/>
                <w:b/>
                <w:sz w:val="32"/>
                <w:szCs w:val="32"/>
                <w:lang w:val="id-ID"/>
              </w:rPr>
            </w:pPr>
            <w:r>
              <w:rPr>
                <w:rFonts w:ascii="Cambria" w:hAnsi="Cambria" w:cs="Calibri"/>
                <w:b/>
                <w:sz w:val="32"/>
                <w:szCs w:val="32"/>
              </w:rPr>
              <w:t>RENCANA PEMBELAJARAN SEMESTER</w:t>
            </w:r>
          </w:p>
        </w:tc>
      </w:tr>
      <w:tr w:rsidR="002C11D3">
        <w:trPr>
          <w:trHeight w:val="90"/>
        </w:trPr>
        <w:tc>
          <w:tcPr>
            <w:tcW w:w="4644" w:type="dxa"/>
            <w:gridSpan w:val="5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MATA KULIAH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6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RUMPUN MK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BOBOT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sks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Tgl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2C11D3">
        <w:trPr>
          <w:trHeight w:val="398"/>
        </w:trPr>
        <w:tc>
          <w:tcPr>
            <w:tcW w:w="4644" w:type="dxa"/>
            <w:gridSpan w:val="5"/>
            <w:shd w:val="clear" w:color="auto" w:fill="FBF79F"/>
            <w:vAlign w:val="center"/>
          </w:tcPr>
          <w:p w:rsidR="002C11D3" w:rsidRDefault="00AC4C18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PERILAKU KONSUMEN DIGITAL</w:t>
            </w:r>
          </w:p>
        </w:tc>
        <w:tc>
          <w:tcPr>
            <w:tcW w:w="2445" w:type="dxa"/>
            <w:gridSpan w:val="2"/>
            <w:shd w:val="clear" w:color="auto" w:fill="FBF79F"/>
            <w:vAlign w:val="center"/>
          </w:tcPr>
          <w:p w:rsidR="002C11D3" w:rsidRDefault="00AC4C18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C4C18">
              <w:rPr>
                <w:color w:val="000000"/>
              </w:rPr>
              <w:t>EBD623201</w:t>
            </w:r>
          </w:p>
        </w:tc>
        <w:tc>
          <w:tcPr>
            <w:tcW w:w="2976" w:type="dxa"/>
            <w:gridSpan w:val="6"/>
            <w:shd w:val="clear" w:color="auto" w:fill="FBF79F"/>
            <w:vAlign w:val="center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S1 BISNIS DIGITAL</w:t>
            </w:r>
          </w:p>
        </w:tc>
        <w:tc>
          <w:tcPr>
            <w:tcW w:w="1134" w:type="dxa"/>
            <w:shd w:val="clear" w:color="auto" w:fill="FBF79F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</w:rPr>
              <w:t>T = 2</w:t>
            </w:r>
          </w:p>
        </w:tc>
        <w:tc>
          <w:tcPr>
            <w:tcW w:w="851" w:type="dxa"/>
            <w:shd w:val="clear" w:color="auto" w:fill="FBF79F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</w:rPr>
              <w:t>P = 1</w:t>
            </w:r>
          </w:p>
        </w:tc>
        <w:tc>
          <w:tcPr>
            <w:tcW w:w="1701" w:type="dxa"/>
            <w:shd w:val="clear" w:color="auto" w:fill="FBF79F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707" w:type="dxa"/>
            <w:gridSpan w:val="2"/>
            <w:shd w:val="clear" w:color="auto" w:fill="FBF79F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Agustus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2025</w:t>
            </w:r>
          </w:p>
        </w:tc>
      </w:tr>
      <w:tr w:rsidR="002C11D3">
        <w:trPr>
          <w:trHeight w:val="339"/>
        </w:trPr>
        <w:tc>
          <w:tcPr>
            <w:tcW w:w="4644" w:type="dxa"/>
            <w:gridSpan w:val="5"/>
            <w:vMerge w:val="restart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OTORISASI</w:t>
            </w:r>
          </w:p>
        </w:tc>
        <w:tc>
          <w:tcPr>
            <w:tcW w:w="3289" w:type="dxa"/>
            <w:gridSpan w:val="5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Pengembang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RPS</w:t>
            </w:r>
          </w:p>
        </w:tc>
        <w:tc>
          <w:tcPr>
            <w:tcW w:w="4117" w:type="dxa"/>
            <w:gridSpan w:val="5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Koordinator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RMK</w:t>
            </w:r>
          </w:p>
        </w:tc>
        <w:tc>
          <w:tcPr>
            <w:tcW w:w="3408" w:type="dxa"/>
            <w:gridSpan w:val="3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Ketua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PRODI</w:t>
            </w:r>
          </w:p>
        </w:tc>
      </w:tr>
      <w:tr w:rsidR="002C11D3">
        <w:trPr>
          <w:trHeight w:val="509"/>
        </w:trPr>
        <w:tc>
          <w:tcPr>
            <w:tcW w:w="4644" w:type="dxa"/>
            <w:gridSpan w:val="5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289" w:type="dxa"/>
            <w:gridSpan w:val="5"/>
          </w:tcPr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7" w:type="dxa"/>
            <w:gridSpan w:val="5"/>
          </w:tcPr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408" w:type="dxa"/>
            <w:gridSpan w:val="3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Dr. Yuniarti Fihartini, S.E., M.Si.</w:t>
            </w:r>
          </w:p>
        </w:tc>
      </w:tr>
      <w:tr w:rsidR="002C11D3">
        <w:tc>
          <w:tcPr>
            <w:tcW w:w="2269" w:type="dxa"/>
            <w:gridSpan w:val="2"/>
            <w:vMerge w:val="restart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aian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5664" w:type="dxa"/>
            <w:gridSpan w:val="8"/>
            <w:shd w:val="clear" w:color="auto" w:fill="E7E6E6"/>
          </w:tcPr>
          <w:p w:rsidR="002C11D3" w:rsidRDefault="001943BC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 xml:space="preserve">CPL-PRODI  yang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>dibebankan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>pada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 xml:space="preserve"> MK       </w:t>
            </w:r>
          </w:p>
        </w:tc>
        <w:tc>
          <w:tcPr>
            <w:tcW w:w="7525" w:type="dxa"/>
            <w:gridSpan w:val="8"/>
          </w:tcPr>
          <w:p w:rsidR="002C11D3" w:rsidRDefault="002C11D3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eastAsia="id-ID"/>
              </w:rPr>
            </w:pP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CPL 4</w:t>
            </w:r>
          </w:p>
          <w:p w:rsidR="002C11D3" w:rsidRDefault="002C11D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1913" w:type="dxa"/>
            <w:gridSpan w:val="15"/>
          </w:tcPr>
          <w:p w:rsidR="002C11D3" w:rsidRDefault="00AC4C1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digital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data digital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>.</w:t>
            </w:r>
          </w:p>
        </w:tc>
      </w:tr>
      <w:tr w:rsidR="00AC4C18">
        <w:trPr>
          <w:gridAfter w:val="16"/>
          <w:wAfter w:w="13189" w:type="dxa"/>
          <w:trHeight w:val="269"/>
        </w:trPr>
        <w:tc>
          <w:tcPr>
            <w:tcW w:w="2269" w:type="dxa"/>
            <w:gridSpan w:val="2"/>
            <w:vMerge/>
          </w:tcPr>
          <w:p w:rsidR="00AC4C18" w:rsidRDefault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11D3">
        <w:trPr>
          <w:trHeight w:val="296"/>
        </w:trPr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8"/>
            <w:shd w:val="clear" w:color="auto" w:fill="E7E6E6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Capaian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Mata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(CPMK)</w:t>
            </w:r>
          </w:p>
        </w:tc>
        <w:tc>
          <w:tcPr>
            <w:tcW w:w="7525" w:type="dxa"/>
            <w:gridSpan w:val="8"/>
          </w:tcPr>
          <w:p w:rsidR="002C11D3" w:rsidRDefault="002C11D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CPMK1</w:t>
            </w:r>
          </w:p>
        </w:tc>
        <w:tc>
          <w:tcPr>
            <w:tcW w:w="11913" w:type="dxa"/>
            <w:gridSpan w:val="15"/>
          </w:tcPr>
          <w:p w:rsidR="00AC4C18" w:rsidRPr="00AC4C18" w:rsidRDefault="00AC4C18" w:rsidP="00AC4C1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Menjelaskan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konsep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ruang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lingkup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CPMK2</w:t>
            </w:r>
          </w:p>
        </w:tc>
        <w:tc>
          <w:tcPr>
            <w:tcW w:w="11913" w:type="dxa"/>
            <w:gridSpan w:val="15"/>
          </w:tcPr>
          <w:p w:rsidR="00AC4C18" w:rsidRPr="00AC4C18" w:rsidRDefault="00AC4C18" w:rsidP="00AC4C1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Menganalisis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faktor-faktor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yang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memengaruhi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dalam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konteks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CPMK3</w:t>
            </w:r>
          </w:p>
        </w:tc>
        <w:tc>
          <w:tcPr>
            <w:tcW w:w="11913" w:type="dxa"/>
            <w:gridSpan w:val="15"/>
          </w:tcPr>
          <w:p w:rsidR="00AC4C18" w:rsidRPr="00AC4C18" w:rsidRDefault="00AC4C18" w:rsidP="00AC4C1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Mengevaluasi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tahapan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pengambilan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keputusan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CPMK4</w:t>
            </w:r>
          </w:p>
        </w:tc>
        <w:tc>
          <w:tcPr>
            <w:tcW w:w="11913" w:type="dxa"/>
            <w:gridSpan w:val="15"/>
          </w:tcPr>
          <w:p w:rsidR="00AC4C18" w:rsidRPr="00AC4C18" w:rsidRDefault="00AC4C18" w:rsidP="00AC4C1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Mengaplikasikan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pemahaman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dalam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penyusunan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strategi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pemasaran</w:t>
            </w:r>
            <w:proofErr w:type="spellEnd"/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CPMK5</w:t>
            </w:r>
          </w:p>
        </w:tc>
        <w:tc>
          <w:tcPr>
            <w:tcW w:w="11913" w:type="dxa"/>
            <w:gridSpan w:val="15"/>
          </w:tcPr>
          <w:p w:rsidR="00AC4C18" w:rsidRPr="00AC4C18" w:rsidRDefault="00AC4C18" w:rsidP="00AC4C1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Mengembangkan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bauran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pemasaran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(marketing mix)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berbasis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</w:t>
            </w:r>
          </w:p>
        </w:tc>
      </w:tr>
      <w:tr w:rsidR="00AC4C18">
        <w:trPr>
          <w:gridAfter w:val="16"/>
          <w:wAfter w:w="13189" w:type="dxa"/>
          <w:trHeight w:val="269"/>
        </w:trPr>
        <w:tc>
          <w:tcPr>
            <w:tcW w:w="2269" w:type="dxa"/>
            <w:gridSpan w:val="2"/>
            <w:vMerge/>
          </w:tcPr>
          <w:p w:rsidR="00AC4C18" w:rsidRDefault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9"/>
            <w:shd w:val="clear" w:color="auto" w:fill="E7E6E6"/>
          </w:tcPr>
          <w:p w:rsidR="002C11D3" w:rsidRDefault="001943B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tiap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tahapan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>belajar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 (Sub-CPMK)</w:t>
            </w:r>
          </w:p>
        </w:tc>
        <w:tc>
          <w:tcPr>
            <w:tcW w:w="7519" w:type="dxa"/>
            <w:gridSpan w:val="7"/>
          </w:tcPr>
          <w:p w:rsidR="002C11D3" w:rsidRDefault="002C11D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AC4C18" w:rsidRP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AC4C18">
              <w:rPr>
                <w:rFonts w:asciiTheme="minorHAnsi" w:hAnsiTheme="minorHAnsi" w:cstheme="minorHAnsi"/>
                <w:sz w:val="22"/>
                <w:szCs w:val="22"/>
              </w:rPr>
              <w:t>Sub-CPMK 1.1</w:t>
            </w:r>
          </w:p>
        </w:tc>
        <w:tc>
          <w:tcPr>
            <w:tcW w:w="11658" w:type="dxa"/>
            <w:gridSpan w:val="14"/>
          </w:tcPr>
          <w:p w:rsidR="00AC4C18" w:rsidRPr="00F2411A" w:rsidRDefault="00AC4C18" w:rsidP="00AC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mendeskripsikan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ruang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lingkup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pentingnya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mempelajari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perilaku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konsumen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AC4C18" w:rsidRP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AC4C18">
              <w:rPr>
                <w:rFonts w:asciiTheme="minorHAnsi" w:hAnsiTheme="minorHAnsi" w:cstheme="minorHAnsi"/>
                <w:sz w:val="22"/>
                <w:szCs w:val="22"/>
              </w:rPr>
              <w:t>Sub-CPMK 2.1</w:t>
            </w:r>
          </w:p>
        </w:tc>
        <w:tc>
          <w:tcPr>
            <w:tcW w:w="11658" w:type="dxa"/>
            <w:gridSpan w:val="14"/>
          </w:tcPr>
          <w:p w:rsidR="00AC4C18" w:rsidRPr="00F2411A" w:rsidRDefault="00AC4C18" w:rsidP="00AC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pengaruh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faktor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psikologis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personal,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sosial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budaya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perilaku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konsumen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AC4C18" w:rsidRP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AC4C18">
              <w:rPr>
                <w:rFonts w:asciiTheme="minorHAnsi" w:hAnsiTheme="minorHAnsi" w:cstheme="minorHAnsi"/>
                <w:sz w:val="22"/>
                <w:szCs w:val="22"/>
              </w:rPr>
              <w:t>Sub-CPMK 3.1</w:t>
            </w:r>
          </w:p>
        </w:tc>
        <w:tc>
          <w:tcPr>
            <w:tcW w:w="11658" w:type="dxa"/>
            <w:gridSpan w:val="14"/>
          </w:tcPr>
          <w:p w:rsidR="00AC4C18" w:rsidRPr="00F2411A" w:rsidRDefault="00AC4C18" w:rsidP="00AC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menganalisis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proses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pengenalan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kebutuhan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pencarian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informasi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evaluasi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alternatif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keputusan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pembelian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perilaku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pasca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pembelian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ranah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AC4C18" w:rsidRP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AC4C18">
              <w:rPr>
                <w:rFonts w:asciiTheme="minorHAnsi" w:hAnsiTheme="minorHAnsi" w:cstheme="minorHAnsi"/>
                <w:sz w:val="22"/>
                <w:szCs w:val="22"/>
              </w:rPr>
              <w:t>Sub-CPMK 4.1</w:t>
            </w:r>
          </w:p>
        </w:tc>
        <w:tc>
          <w:tcPr>
            <w:tcW w:w="11658" w:type="dxa"/>
            <w:gridSpan w:val="14"/>
          </w:tcPr>
          <w:p w:rsidR="00AC4C18" w:rsidRPr="00F2411A" w:rsidRDefault="00AC4C18" w:rsidP="00AC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segmentasi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targeting,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positioning (STP)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konteks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</w:tr>
      <w:tr w:rsidR="00AC4C18">
        <w:tc>
          <w:tcPr>
            <w:tcW w:w="2269" w:type="dxa"/>
            <w:gridSpan w:val="2"/>
            <w:vMerge/>
          </w:tcPr>
          <w:p w:rsidR="00AC4C18" w:rsidRDefault="00AC4C18" w:rsidP="00AC4C18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AC4C18" w:rsidRPr="00AC4C18" w:rsidRDefault="00AC4C18" w:rsidP="00AC4C1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AC4C18">
              <w:rPr>
                <w:rFonts w:asciiTheme="minorHAnsi" w:hAnsiTheme="minorHAnsi" w:cstheme="minorHAnsi"/>
                <w:sz w:val="22"/>
                <w:szCs w:val="22"/>
              </w:rPr>
              <w:t>Sub-CPMK 5.1</w:t>
            </w:r>
          </w:p>
        </w:tc>
        <w:tc>
          <w:tcPr>
            <w:tcW w:w="11658" w:type="dxa"/>
            <w:gridSpan w:val="14"/>
          </w:tcPr>
          <w:p w:rsidR="00AC4C18" w:rsidRPr="00F2411A" w:rsidRDefault="00AC4C18" w:rsidP="00AC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merancang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produk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harga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distribusi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promosi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sesuai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karakteristik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>konsumen</w:t>
            </w:r>
            <w:proofErr w:type="spellEnd"/>
            <w:r w:rsidRPr="00F2411A"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2C11D3" w:rsidRPr="00AC4C18" w:rsidRDefault="002C11D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658" w:type="dxa"/>
            <w:gridSpan w:val="14"/>
          </w:tcPr>
          <w:p w:rsidR="002C11D3" w:rsidRPr="00AC4C18" w:rsidRDefault="002C11D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54" w:type="dxa"/>
            <w:gridSpan w:val="7"/>
            <w:shd w:val="clear" w:color="auto" w:fill="E7E6E6"/>
          </w:tcPr>
          <w:p w:rsidR="002C11D3" w:rsidRDefault="001943B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>Korelasi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 xml:space="preserve"> CPL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>terhadap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eastAsia="id-ID"/>
              </w:rPr>
              <w:t xml:space="preserve"> Sub-CPMK</w:t>
            </w:r>
          </w:p>
        </w:tc>
        <w:tc>
          <w:tcPr>
            <w:tcW w:w="7535" w:type="dxa"/>
            <w:gridSpan w:val="9"/>
          </w:tcPr>
          <w:p w:rsidR="002C11D3" w:rsidRDefault="002C11D3">
            <w:pPr>
              <w:autoSpaceDE w:val="0"/>
              <w:autoSpaceDN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2C11D3">
        <w:tc>
          <w:tcPr>
            <w:tcW w:w="2269" w:type="dxa"/>
            <w:gridSpan w:val="2"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89" w:type="dxa"/>
            <w:gridSpan w:val="16"/>
          </w:tcPr>
          <w:p w:rsidR="002C11D3" w:rsidRDefault="00AC4C18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>
              <w:rPr>
                <w:noProof/>
              </w:rPr>
              <w:drawing>
                <wp:inline distT="0" distB="0" distL="0" distR="0" wp14:anchorId="428F5CDD" wp14:editId="0849F13E">
                  <wp:extent cx="5889168" cy="12660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973" cy="1272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1D3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Deskripsi Singkat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189" w:type="dxa"/>
            <w:gridSpan w:val="16"/>
          </w:tcPr>
          <w:p w:rsidR="002C11D3" w:rsidRDefault="00AC4C1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4C18">
              <w:rPr>
                <w:rFonts w:asciiTheme="minorHAnsi" w:hAnsiTheme="minorHAnsi" w:cstheme="minorHAnsi"/>
                <w:sz w:val="22"/>
              </w:rPr>
              <w:t xml:space="preserve">Mata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kuliah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ini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membahas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konsep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faktor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proses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 era digital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serta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penerapannya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dalam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strategi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pemasaran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Mahasiswa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dibekali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kemampuan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menganalisis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perilaku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dan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merancang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STP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serta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bauran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pemasaran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sesuai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karakteristik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4C18">
              <w:rPr>
                <w:rFonts w:asciiTheme="minorHAnsi" w:hAnsiTheme="minorHAnsi" w:cstheme="minorHAnsi"/>
                <w:sz w:val="22"/>
              </w:rPr>
              <w:t>konsumen</w:t>
            </w:r>
            <w:proofErr w:type="spellEnd"/>
            <w:r w:rsidRPr="00AC4C18">
              <w:rPr>
                <w:rFonts w:asciiTheme="minorHAnsi" w:hAnsiTheme="minorHAnsi" w:cstheme="minorHAnsi"/>
                <w:sz w:val="22"/>
              </w:rPr>
              <w:t xml:space="preserve"> digital.</w:t>
            </w:r>
          </w:p>
        </w:tc>
      </w:tr>
      <w:tr w:rsidR="002C11D3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Bahan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Kajian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Materi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3189" w:type="dxa"/>
            <w:gridSpan w:val="16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1: Syllabus Explanation &amp; Introduction 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Technopreneur</w:t>
            </w:r>
            <w:proofErr w:type="spellEnd"/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2: Concept of Entrepreneurship in Digital Era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3: Creativity and Innovation </w:t>
            </w:r>
            <w:r>
              <w:rPr>
                <w:rFonts w:ascii="Calibri" w:hAnsi="Calibri" w:cs="Calibri"/>
                <w:sz w:val="22"/>
                <w:szCs w:val="22"/>
              </w:rPr>
              <w:t>in Business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4: Opportunity Identification &amp; Feasibility Analysis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5: Business Planning Process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6: Business Model Canvas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7: Marketing Strategy for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Technopreneurs</w:t>
            </w:r>
            <w:proofErr w:type="spellEnd"/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8: Midterm Exam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9: Financial Planning for Startups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10: Operat</w:t>
            </w:r>
            <w:r>
              <w:rPr>
                <w:rFonts w:ascii="Calibri" w:hAnsi="Calibri" w:cs="Calibri"/>
                <w:sz w:val="22"/>
                <w:szCs w:val="22"/>
              </w:rPr>
              <w:t>ions Management in New Ventures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11: Ethics &amp; Sustainability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Technopreneur</w:t>
            </w:r>
            <w:proofErr w:type="spellEnd"/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12: Legal Aspects in Digital Business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13: Business Performance Evaluation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14: Sustainable Growth Strategy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15: Final Project Presentation</w:t>
            </w:r>
          </w:p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16: Final Ex</w:t>
            </w:r>
            <w:r>
              <w:rPr>
                <w:rFonts w:ascii="Calibri" w:hAnsi="Calibri" w:cs="Calibri"/>
                <w:sz w:val="22"/>
                <w:szCs w:val="22"/>
              </w:rPr>
              <w:t>am</w:t>
            </w:r>
          </w:p>
        </w:tc>
      </w:tr>
      <w:tr w:rsidR="002C11D3">
        <w:tc>
          <w:tcPr>
            <w:tcW w:w="2269" w:type="dxa"/>
            <w:gridSpan w:val="2"/>
            <w:vMerge w:val="restart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375" w:type="dxa"/>
            <w:gridSpan w:val="3"/>
            <w:shd w:val="clear" w:color="auto" w:fill="E7E6E6"/>
          </w:tcPr>
          <w:p w:rsidR="002C11D3" w:rsidRDefault="001943BC">
            <w:pPr>
              <w:autoSpaceDE w:val="0"/>
              <w:autoSpaceDN w:val="0"/>
              <w:ind w:left="26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Utama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3"/>
          </w:tcPr>
          <w:p w:rsidR="002C11D3" w:rsidRDefault="002C11D3">
            <w:pPr>
              <w:autoSpaceDE w:val="0"/>
              <w:autoSpaceDN w:val="0"/>
              <w:ind w:left="26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6"/>
          </w:tcPr>
          <w:p w:rsidR="002C11D3" w:rsidRDefault="00AC4C18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AC4C18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Solomon, M. R. (2023). Consumer behavior: Buying, having, and being (13th ed.). Pearson.</w:t>
            </w:r>
          </w:p>
        </w:tc>
      </w:tr>
      <w:tr w:rsidR="002C11D3"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375" w:type="dxa"/>
            <w:gridSpan w:val="3"/>
            <w:shd w:val="clear" w:color="auto" w:fill="E7E6E6"/>
          </w:tcPr>
          <w:p w:rsidR="002C11D3" w:rsidRDefault="001943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val="id-ID"/>
              </w:rPr>
              <w:t>Pendukung</w:t>
            </w: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3"/>
          </w:tcPr>
          <w:p w:rsidR="002C11D3" w:rsidRDefault="002C11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11D3">
        <w:trPr>
          <w:trHeight w:val="377"/>
        </w:trPr>
        <w:tc>
          <w:tcPr>
            <w:tcW w:w="2269" w:type="dxa"/>
            <w:gridSpan w:val="2"/>
            <w:vMerge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6"/>
          </w:tcPr>
          <w:p w:rsidR="002C11D3" w:rsidRPr="00A8461C" w:rsidRDefault="00A8461C" w:rsidP="00A8461C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Artikel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dalam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berbagai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bacaan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lain (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Jurnal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Majalah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, Tabloid),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baik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media online yang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terkait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dengan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issues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perilaku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konsumen</w:t>
            </w:r>
            <w:proofErr w:type="spellEnd"/>
            <w:r w:rsidRPr="00A8461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digital</w:t>
            </w:r>
          </w:p>
        </w:tc>
      </w:tr>
      <w:tr w:rsidR="002C11D3">
        <w:tc>
          <w:tcPr>
            <w:tcW w:w="2269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3189" w:type="dxa"/>
            <w:gridSpan w:val="16"/>
          </w:tcPr>
          <w:p w:rsidR="00A8461C" w:rsidRPr="00A8461C" w:rsidRDefault="00A8461C" w:rsidP="00A8461C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A8461C">
              <w:rPr>
                <w:rFonts w:ascii="Calibri" w:hAnsi="Calibri" w:cs="Calibri"/>
                <w:sz w:val="22"/>
                <w:szCs w:val="22"/>
              </w:rPr>
              <w:t xml:space="preserve">Dr. Dorothy </w:t>
            </w:r>
            <w:proofErr w:type="spellStart"/>
            <w:r w:rsidRPr="00A8461C">
              <w:rPr>
                <w:rFonts w:ascii="Calibri" w:hAnsi="Calibri" w:cs="Calibri"/>
                <w:sz w:val="22"/>
                <w:szCs w:val="22"/>
              </w:rPr>
              <w:t>Rouly</w:t>
            </w:r>
            <w:proofErr w:type="spellEnd"/>
            <w:r w:rsidRPr="00A846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8461C">
              <w:rPr>
                <w:rFonts w:ascii="Calibri" w:hAnsi="Calibri" w:cs="Calibri"/>
                <w:sz w:val="22"/>
                <w:szCs w:val="22"/>
              </w:rPr>
              <w:t>Pandjaitan</w:t>
            </w:r>
            <w:proofErr w:type="spellEnd"/>
            <w:r w:rsidRPr="00A8461C">
              <w:rPr>
                <w:rFonts w:ascii="Calibri" w:hAnsi="Calibri" w:cs="Calibri"/>
                <w:sz w:val="22"/>
                <w:szCs w:val="22"/>
              </w:rPr>
              <w:t xml:space="preserve">, S.E., M.Sc. </w:t>
            </w:r>
          </w:p>
          <w:p w:rsidR="002C11D3" w:rsidRDefault="001943BC" w:rsidP="00A8461C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Tiara Prisca Sabilla, S.E., M.M.</w:t>
            </w:r>
          </w:p>
        </w:tc>
      </w:tr>
      <w:tr w:rsidR="002C11D3">
        <w:tc>
          <w:tcPr>
            <w:tcW w:w="2269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Mata Kuliah Syarat</w:t>
            </w:r>
          </w:p>
        </w:tc>
        <w:tc>
          <w:tcPr>
            <w:tcW w:w="13189" w:type="dxa"/>
            <w:gridSpan w:val="16"/>
          </w:tcPr>
          <w:p w:rsidR="002C11D3" w:rsidRDefault="002C11D3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11D3">
        <w:trPr>
          <w:trHeight w:val="839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:rsidR="002C11D3" w:rsidRPr="001943BC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/>
              </w:rPr>
              <w:t>M</w:t>
            </w: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g </w:t>
            </w: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/>
              </w:rPr>
              <w:t>Ke-</w:t>
            </w:r>
          </w:p>
        </w:tc>
        <w:tc>
          <w:tcPr>
            <w:tcW w:w="2807" w:type="dxa"/>
            <w:gridSpan w:val="2"/>
            <w:vMerge w:val="restart"/>
            <w:shd w:val="clear" w:color="auto" w:fill="E7E6E6"/>
            <w:vAlign w:val="center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Kemampuan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akhir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tiap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tahapan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belajar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</w:p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(Sub-CPMK)</w:t>
            </w:r>
          </w:p>
        </w:tc>
        <w:tc>
          <w:tcPr>
            <w:tcW w:w="3827" w:type="dxa"/>
            <w:gridSpan w:val="5"/>
            <w:shd w:val="clear" w:color="auto" w:fill="E7E6E6"/>
            <w:vAlign w:val="center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Penilaian</w:t>
            </w:r>
            <w:proofErr w:type="spellEnd"/>
          </w:p>
        </w:tc>
        <w:tc>
          <w:tcPr>
            <w:tcW w:w="4678" w:type="dxa"/>
            <w:gridSpan w:val="7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Bantuk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Pembelajaran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,</w:t>
            </w:r>
          </w:p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 w:eastAsia="id-ID"/>
              </w:rPr>
              <w:t>Metode Pembelajaran</w:t>
            </w: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, </w:t>
            </w:r>
          </w:p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Penugasan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Mahasiswa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,</w:t>
            </w:r>
          </w:p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 w:eastAsia="id-ID"/>
              </w:rPr>
            </w:pPr>
            <w:r w:rsidRPr="001943BC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highlight w:val="yellow"/>
                <w:lang w:val="id-ID"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/>
            <w:vAlign w:val="center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 w:eastAsia="id-ID"/>
              </w:rPr>
              <w:t>Materi Pembelajaran</w:t>
            </w:r>
          </w:p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id-ID" w:eastAsia="id-ID"/>
              </w:rPr>
            </w:pPr>
            <w:r w:rsidRPr="001943BC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highlight w:val="yellow"/>
                <w:lang w:val="id-ID" w:eastAsia="id-ID"/>
              </w:rPr>
              <w:t>[</w:t>
            </w:r>
            <w:proofErr w:type="spellStart"/>
            <w:r w:rsidRPr="001943BC">
              <w:rPr>
                <w:rFonts w:ascii="Calibri" w:hAnsi="Calibri" w:cs="Calibri"/>
                <w:b/>
                <w:bCs/>
                <w:iCs/>
                <w:color w:val="0000FF"/>
                <w:sz w:val="22"/>
                <w:szCs w:val="22"/>
                <w:highlight w:val="yellow"/>
                <w:lang w:eastAsia="id-ID"/>
              </w:rPr>
              <w:t>Soltanifar</w:t>
            </w:r>
            <w:proofErr w:type="spellEnd"/>
            <w:r w:rsidRPr="001943BC">
              <w:rPr>
                <w:rFonts w:ascii="Calibri" w:hAnsi="Calibri" w:cs="Calibri"/>
                <w:b/>
                <w:bCs/>
                <w:iCs/>
                <w:color w:val="0000FF"/>
                <w:sz w:val="22"/>
                <w:szCs w:val="22"/>
                <w:highlight w:val="yellow"/>
                <w:lang w:eastAsia="id-ID"/>
              </w:rPr>
              <w:t xml:space="preserve">, M., Hughes, M., &amp;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iCs/>
                <w:color w:val="0000FF"/>
                <w:sz w:val="22"/>
                <w:szCs w:val="22"/>
                <w:highlight w:val="yellow"/>
                <w:lang w:eastAsia="id-ID"/>
              </w:rPr>
              <w:t>Göcke</w:t>
            </w:r>
            <w:proofErr w:type="spellEnd"/>
            <w:r w:rsidRPr="001943BC">
              <w:rPr>
                <w:rFonts w:ascii="Calibri" w:hAnsi="Calibri" w:cs="Calibri"/>
                <w:b/>
                <w:bCs/>
                <w:iCs/>
                <w:color w:val="0000FF"/>
                <w:sz w:val="22"/>
                <w:szCs w:val="22"/>
                <w:highlight w:val="yellow"/>
                <w:lang w:eastAsia="id-ID"/>
              </w:rPr>
              <w:t>, L. (Eds.). (2021)</w:t>
            </w:r>
            <w:r w:rsidRPr="001943BC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highlight w:val="yellow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/>
            <w:vAlign w:val="center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2C11D3">
        <w:trPr>
          <w:trHeight w:val="337"/>
        </w:trPr>
        <w:tc>
          <w:tcPr>
            <w:tcW w:w="738" w:type="dxa"/>
            <w:vMerge/>
            <w:shd w:val="clear" w:color="auto" w:fill="E7E6E6"/>
          </w:tcPr>
          <w:p w:rsidR="002C11D3" w:rsidRPr="001943BC" w:rsidRDefault="002C11D3">
            <w:pPr>
              <w:autoSpaceDE w:val="0"/>
              <w:autoSpaceDN w:val="0"/>
              <w:ind w:right="-108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</w:p>
        </w:tc>
        <w:tc>
          <w:tcPr>
            <w:tcW w:w="2807" w:type="dxa"/>
            <w:gridSpan w:val="2"/>
            <w:vMerge/>
            <w:shd w:val="clear" w:color="auto" w:fill="E7E6E6"/>
          </w:tcPr>
          <w:p w:rsidR="002C11D3" w:rsidRPr="001943BC" w:rsidRDefault="002C11D3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</w:p>
        </w:tc>
        <w:tc>
          <w:tcPr>
            <w:tcW w:w="1701" w:type="dxa"/>
            <w:gridSpan w:val="3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Indikator</w:t>
            </w:r>
            <w:proofErr w:type="spellEnd"/>
          </w:p>
        </w:tc>
        <w:tc>
          <w:tcPr>
            <w:tcW w:w="2126" w:type="dxa"/>
            <w:gridSpan w:val="2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Kriteria</w:t>
            </w:r>
            <w:proofErr w:type="spellEnd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 xml:space="preserve"> &amp; </w:t>
            </w:r>
            <w:proofErr w:type="spellStart"/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Teknik</w:t>
            </w:r>
            <w:proofErr w:type="spellEnd"/>
          </w:p>
        </w:tc>
        <w:tc>
          <w:tcPr>
            <w:tcW w:w="2410" w:type="dxa"/>
            <w:gridSpan w:val="4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Luring (</w:t>
            </w:r>
            <w:r w:rsidRPr="001943B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eastAsia="id-ID"/>
              </w:rPr>
              <w:t>offline</w:t>
            </w: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)</w:t>
            </w:r>
          </w:p>
        </w:tc>
        <w:tc>
          <w:tcPr>
            <w:tcW w:w="2268" w:type="dxa"/>
            <w:gridSpan w:val="3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Daring (</w:t>
            </w:r>
            <w:r w:rsidRPr="001943B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eastAsia="id-ID"/>
              </w:rPr>
              <w:t>online</w:t>
            </w: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/>
          </w:tcPr>
          <w:p w:rsidR="002C11D3" w:rsidRPr="001943BC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highlight w:val="yellow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:rsidR="002C11D3" w:rsidRDefault="002C11D3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2C11D3">
        <w:trPr>
          <w:trHeight w:val="274"/>
        </w:trPr>
        <w:tc>
          <w:tcPr>
            <w:tcW w:w="738" w:type="dxa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>(1)</w:t>
            </w:r>
          </w:p>
        </w:tc>
        <w:tc>
          <w:tcPr>
            <w:tcW w:w="2807" w:type="dxa"/>
            <w:gridSpan w:val="2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(2)</w:t>
            </w:r>
          </w:p>
        </w:tc>
        <w:tc>
          <w:tcPr>
            <w:tcW w:w="1701" w:type="dxa"/>
            <w:gridSpan w:val="3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(3)</w:t>
            </w:r>
          </w:p>
        </w:tc>
        <w:tc>
          <w:tcPr>
            <w:tcW w:w="2126" w:type="dxa"/>
            <w:gridSpan w:val="2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(4)</w:t>
            </w:r>
          </w:p>
        </w:tc>
        <w:tc>
          <w:tcPr>
            <w:tcW w:w="2410" w:type="dxa"/>
            <w:gridSpan w:val="4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(5)</w:t>
            </w:r>
          </w:p>
        </w:tc>
        <w:tc>
          <w:tcPr>
            <w:tcW w:w="2268" w:type="dxa"/>
            <w:gridSpan w:val="3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/>
          </w:tcPr>
          <w:p w:rsidR="002C11D3" w:rsidRPr="001943BC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Cs/>
                <w:sz w:val="22"/>
                <w:szCs w:val="22"/>
                <w:highlight w:val="yellow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2C11D3">
        <w:tc>
          <w:tcPr>
            <w:tcW w:w="738" w:type="dxa"/>
          </w:tcPr>
          <w:p w:rsidR="002C11D3" w:rsidRPr="001943BC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id-ID"/>
              </w:rPr>
              <w:t>1</w:t>
            </w:r>
          </w:p>
        </w:tc>
        <w:tc>
          <w:tcPr>
            <w:tcW w:w="2807" w:type="dxa"/>
            <w:gridSpan w:val="2"/>
          </w:tcPr>
          <w:p w:rsidR="002C11D3" w:rsidRPr="001943BC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id-ID" w:eastAsia="id-ID"/>
              </w:rPr>
            </w:pPr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Sub-CPMK 1.1: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Mampu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menjelaskan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konsep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technopreneurship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dan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urgensinya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di era digital</w:t>
            </w:r>
          </w:p>
        </w:tc>
        <w:tc>
          <w:tcPr>
            <w:tcW w:w="1701" w:type="dxa"/>
            <w:gridSpan w:val="3"/>
          </w:tcPr>
          <w:p w:rsidR="002C11D3" w:rsidRPr="001943BC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Mahasiswa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bookmarkStart w:id="0" w:name="_GoBack"/>
            <w:bookmarkEnd w:id="0"/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mampu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mendefinisikan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technopreneurship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,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menjelaskan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urgensinya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di era digital,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dan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memberikan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contoh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penerapannya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Pr="001943BC" w:rsidRDefault="001943B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Kriteria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: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Ketepatan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pemahaman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konsep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dasar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Teknik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: Non-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tes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Observasi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Partisipasi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Pr="001943BC" w:rsidRDefault="001943BC">
            <w:pPr>
              <w:autoSpaceDE w:val="0"/>
              <w:autoSpaceDN w:val="0"/>
              <w:ind w:left="72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Kuliah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,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Diskusi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.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Metode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: Case Study.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Tugas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: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Analisis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singkat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tentang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peran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technopreneur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di era digital. [TM: 3x50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Menit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Pr="001943BC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</w:pP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Bentuk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: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Diskusi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Asinkron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Metode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: Forum Discussion.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Tugas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: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Menanggapi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pertanyaan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VCl</w:t>
            </w:r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ass</w:t>
            </w:r>
            <w:proofErr w:type="spellEnd"/>
            <w:r w:rsidRPr="001943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274" w:type="dxa"/>
            <w:gridSpan w:val="2"/>
          </w:tcPr>
          <w:p w:rsidR="002C11D3" w:rsidRPr="001943BC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</w:pPr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Syllabus Explanation &amp; Introduction to 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Technopreneurship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 xml:space="preserve"> [</w:t>
            </w:r>
            <w:proofErr w:type="spellStart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Soltanifar</w:t>
            </w:r>
            <w:proofErr w:type="spellEnd"/>
            <w:r w:rsidRPr="001943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eastAsia="id-ID"/>
              </w:rPr>
              <w:t>, Bab 1]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1.2: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konsep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kewirausahaan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</w:t>
            </w:r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kewirausahaan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cirinya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memberi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penerapannya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konsep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Kelompok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Discovery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kewirausahaan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Kolaborasi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Pengerjaan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kelompok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via 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ogle Docs.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Upload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LMS.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Concept of Entrepreneurship in Digital Era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2]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1.3: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konsep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kreativitas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inovasi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definisi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kreativitas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inovasi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memberikan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aplikasinya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penjelasan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Seminar,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Case Study.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Membahas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inovasi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Forum Discussion.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Menulis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tanggapan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inovasi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LMS.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Creativity &amp; Innovation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3]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2.1: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peluang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melakukan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kelayakan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pasar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menguraikan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peluang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kelayakan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pasar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peluang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Praktik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Problem Based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Latihan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kelayakan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pasar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Belajar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Melihat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kelayakan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Opportunity Identification &amp; Feasibility Analysis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4]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2.2: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perencanaan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mencakup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pemasaran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operasional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keuangan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terstruktur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Kelengkapan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Praktik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Studio, Workshop.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Project Based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perencanaan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Kolaborasi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Miro/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Canva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Upload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Business Planning Process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5]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2.3: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Business Model Canvas</w:t>
            </w:r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mengisi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sembilan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BMC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tepat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logis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Kelengkapan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logika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BMC.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Case Study.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BMC.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Kolaborasi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Canva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/Miro.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Upload BMC di LMS.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Business Model Canvas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6]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3.1: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merancang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pemasaran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technopreneur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merancang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pemasaran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 yang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pasar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tujuan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Relevansi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Responsi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Tanya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Jawab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pemasaran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 di LMS.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Marketing Strategy for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Technopreneurs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7]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C11D3">
        <w:tc>
          <w:tcPr>
            <w:tcW w:w="738" w:type="dxa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586" w:type="dxa"/>
            <w:gridSpan w:val="16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Tengah Semester /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Tengan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Semester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20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3.2: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keuangan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startup</w:t>
            </w:r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pendapatan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biaya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laba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Akurasi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keuangan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Workshop.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Project Based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keuangan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awal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[TM: 3x50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Kolaborasi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Google Sheet.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Financial Planning for Startups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8]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3.3: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merancang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operasional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operasional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efektif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efisien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operasional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Seminar.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Debat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operasional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startup.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Forum Discussion.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 Management in New Ventures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9]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4.1: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menerapkan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keberlanjutan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penerapan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keberlanjutan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Kepatuhan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Praktik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Project Based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berkelanjutan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Ethics &amp; Sustainability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Technopreneurship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10]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5.1: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relevan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Case Study.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e-commerce.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Belajar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Legal Aspects in Digital Business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11]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6.1: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mengevaluasi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kinerja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kinerja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indikator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tepat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Kelengkapan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Seminar.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Collaborative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evaluasi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—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Business Performance Evaluation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12]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6.2: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merumuskan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pengembangan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berkelanjutan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pertumbuhan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realistis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berkelanjutan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Kualitas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Seminar.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Collaborative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strategi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pertumbuhan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—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Sustainable Growth Strategy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Soltanifar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Bab 13]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</w:t>
            </w:r>
          </w:p>
        </w:tc>
      </w:tr>
      <w:tr w:rsidR="002C11D3">
        <w:tc>
          <w:tcPr>
            <w:tcW w:w="738" w:type="dxa"/>
          </w:tcPr>
          <w:p w:rsidR="002C11D3" w:rsidRDefault="001943BC">
            <w:pPr>
              <w:autoSpaceDE w:val="0"/>
              <w:autoSpaceDN w:val="0"/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2807" w:type="dxa"/>
            <w:gridSpan w:val="2"/>
          </w:tcPr>
          <w:p w:rsidR="002C11D3" w:rsidRDefault="001943BC">
            <w:pPr>
              <w:autoSpaceDE w:val="0"/>
              <w:autoSpaceDN w:val="0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Sub-CPMK 6.3: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mempresentasikan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bisnis</w:t>
            </w:r>
            <w:proofErr w:type="spellEnd"/>
          </w:p>
        </w:tc>
        <w:tc>
          <w:tcPr>
            <w:tcW w:w="1701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mempresentasikan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komprehensif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Kriteria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Kesiapan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proposal.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4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Luring: Tutorial.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Self-Directed Learning.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Proposal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Proyek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Akhir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[TM: 3x50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3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—</w:t>
            </w:r>
          </w:p>
        </w:tc>
        <w:tc>
          <w:tcPr>
            <w:tcW w:w="2274" w:type="dxa"/>
            <w:gridSpan w:val="2"/>
          </w:tcPr>
          <w:p w:rsidR="002C11D3" w:rsidRDefault="001943BC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Project Presentation</w:t>
            </w:r>
          </w:p>
        </w:tc>
        <w:tc>
          <w:tcPr>
            <w:tcW w:w="1134" w:type="dxa"/>
          </w:tcPr>
          <w:p w:rsidR="002C11D3" w:rsidRDefault="001943B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C11D3">
        <w:tc>
          <w:tcPr>
            <w:tcW w:w="738" w:type="dxa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ind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586" w:type="dxa"/>
            <w:gridSpan w:val="16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Semester /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Semester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C11D3" w:rsidRDefault="001943B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20</w:t>
            </w:r>
          </w:p>
        </w:tc>
      </w:tr>
    </w:tbl>
    <w:p w:rsidR="002C11D3" w:rsidRDefault="002C11D3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b/>
          <w:sz w:val="20"/>
          <w:szCs w:val="20"/>
          <w:u w:val="single"/>
          <w:lang w:val="id-ID"/>
        </w:rPr>
      </w:pPr>
    </w:p>
    <w:sectPr w:rsidR="002C11D3">
      <w:pgSz w:w="16834" w:h="11909" w:orient="landscape"/>
      <w:pgMar w:top="1418" w:right="1418" w:bottom="1418" w:left="1871" w:header="720" w:footer="851" w:gutter="0"/>
      <w:pgNumType w:start="2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6DE"/>
    <w:multiLevelType w:val="multilevel"/>
    <w:tmpl w:val="03587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69D9743B"/>
    <w:multiLevelType w:val="multilevel"/>
    <w:tmpl w:val="69D9743B"/>
    <w:lvl w:ilvl="0">
      <w:start w:val="1"/>
      <w:numFmt w:val="decimal"/>
      <w:pStyle w:val="StyleHeading1Left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2"/>
    <w:rsid w:val="00012F6C"/>
    <w:rsid w:val="00015A18"/>
    <w:rsid w:val="00016ABE"/>
    <w:rsid w:val="00024A95"/>
    <w:rsid w:val="00025EC3"/>
    <w:rsid w:val="00027362"/>
    <w:rsid w:val="000447E3"/>
    <w:rsid w:val="00046DED"/>
    <w:rsid w:val="0006422E"/>
    <w:rsid w:val="0006487A"/>
    <w:rsid w:val="000648C6"/>
    <w:rsid w:val="000668B9"/>
    <w:rsid w:val="000740A6"/>
    <w:rsid w:val="00080370"/>
    <w:rsid w:val="000810E8"/>
    <w:rsid w:val="0008380D"/>
    <w:rsid w:val="0008796E"/>
    <w:rsid w:val="00093F47"/>
    <w:rsid w:val="00095088"/>
    <w:rsid w:val="00095EBE"/>
    <w:rsid w:val="00096D9D"/>
    <w:rsid w:val="000A13F8"/>
    <w:rsid w:val="000A48A8"/>
    <w:rsid w:val="000A535E"/>
    <w:rsid w:val="000B1AD3"/>
    <w:rsid w:val="000B5CBF"/>
    <w:rsid w:val="000B75B6"/>
    <w:rsid w:val="000D3781"/>
    <w:rsid w:val="000D3E93"/>
    <w:rsid w:val="000D5512"/>
    <w:rsid w:val="000E2C80"/>
    <w:rsid w:val="000E31B6"/>
    <w:rsid w:val="000E60CC"/>
    <w:rsid w:val="000F695B"/>
    <w:rsid w:val="001002E1"/>
    <w:rsid w:val="00100A7C"/>
    <w:rsid w:val="00107300"/>
    <w:rsid w:val="00113402"/>
    <w:rsid w:val="001156C8"/>
    <w:rsid w:val="00126206"/>
    <w:rsid w:val="0014722C"/>
    <w:rsid w:val="001478A8"/>
    <w:rsid w:val="00161671"/>
    <w:rsid w:val="001701D1"/>
    <w:rsid w:val="00171943"/>
    <w:rsid w:val="0018559F"/>
    <w:rsid w:val="00192C0F"/>
    <w:rsid w:val="001943BC"/>
    <w:rsid w:val="001A1EFD"/>
    <w:rsid w:val="001A630B"/>
    <w:rsid w:val="001A6489"/>
    <w:rsid w:val="001C2851"/>
    <w:rsid w:val="001C43C1"/>
    <w:rsid w:val="001D2AD0"/>
    <w:rsid w:val="001D5B59"/>
    <w:rsid w:val="001D5CAB"/>
    <w:rsid w:val="001D60F3"/>
    <w:rsid w:val="001E1C1D"/>
    <w:rsid w:val="001E2C77"/>
    <w:rsid w:val="001E3ED0"/>
    <w:rsid w:val="001F144A"/>
    <w:rsid w:val="001F4707"/>
    <w:rsid w:val="00204FE2"/>
    <w:rsid w:val="00213208"/>
    <w:rsid w:val="00216C34"/>
    <w:rsid w:val="00220B32"/>
    <w:rsid w:val="00222081"/>
    <w:rsid w:val="00237B9E"/>
    <w:rsid w:val="002404A8"/>
    <w:rsid w:val="00241A39"/>
    <w:rsid w:val="002575E8"/>
    <w:rsid w:val="00271CD6"/>
    <w:rsid w:val="00290A76"/>
    <w:rsid w:val="00294333"/>
    <w:rsid w:val="002B7257"/>
    <w:rsid w:val="002C11D3"/>
    <w:rsid w:val="002C1E0C"/>
    <w:rsid w:val="002C2796"/>
    <w:rsid w:val="002C69C0"/>
    <w:rsid w:val="002C72B5"/>
    <w:rsid w:val="002D1867"/>
    <w:rsid w:val="002D34A7"/>
    <w:rsid w:val="002D449E"/>
    <w:rsid w:val="002D7F15"/>
    <w:rsid w:val="002E0426"/>
    <w:rsid w:val="002F786E"/>
    <w:rsid w:val="00300172"/>
    <w:rsid w:val="00312CFD"/>
    <w:rsid w:val="00324970"/>
    <w:rsid w:val="0033282B"/>
    <w:rsid w:val="00337D10"/>
    <w:rsid w:val="003453FD"/>
    <w:rsid w:val="003469EA"/>
    <w:rsid w:val="00351617"/>
    <w:rsid w:val="00373ABD"/>
    <w:rsid w:val="00377E86"/>
    <w:rsid w:val="00387503"/>
    <w:rsid w:val="003974BD"/>
    <w:rsid w:val="003A159E"/>
    <w:rsid w:val="003A6452"/>
    <w:rsid w:val="003C0001"/>
    <w:rsid w:val="003C3319"/>
    <w:rsid w:val="003D6A46"/>
    <w:rsid w:val="003F0CF5"/>
    <w:rsid w:val="003F1F21"/>
    <w:rsid w:val="00407B73"/>
    <w:rsid w:val="00413B8C"/>
    <w:rsid w:val="00430E23"/>
    <w:rsid w:val="00437AC3"/>
    <w:rsid w:val="00437FCA"/>
    <w:rsid w:val="0044222C"/>
    <w:rsid w:val="00450C0B"/>
    <w:rsid w:val="0045144D"/>
    <w:rsid w:val="00451ED9"/>
    <w:rsid w:val="00466284"/>
    <w:rsid w:val="00467D3C"/>
    <w:rsid w:val="004812DF"/>
    <w:rsid w:val="004813EC"/>
    <w:rsid w:val="0048243C"/>
    <w:rsid w:val="004839CB"/>
    <w:rsid w:val="004853B6"/>
    <w:rsid w:val="004A5F98"/>
    <w:rsid w:val="004B4B21"/>
    <w:rsid w:val="004C5440"/>
    <w:rsid w:val="004D1399"/>
    <w:rsid w:val="004D1A77"/>
    <w:rsid w:val="004D2338"/>
    <w:rsid w:val="004D4097"/>
    <w:rsid w:val="004D7E95"/>
    <w:rsid w:val="004E4BC0"/>
    <w:rsid w:val="004E7F64"/>
    <w:rsid w:val="004F3C33"/>
    <w:rsid w:val="004F445A"/>
    <w:rsid w:val="005025B7"/>
    <w:rsid w:val="00504B54"/>
    <w:rsid w:val="00505DE3"/>
    <w:rsid w:val="00506C8B"/>
    <w:rsid w:val="005103F6"/>
    <w:rsid w:val="00511842"/>
    <w:rsid w:val="005145E7"/>
    <w:rsid w:val="005208D0"/>
    <w:rsid w:val="005223B2"/>
    <w:rsid w:val="00533A7A"/>
    <w:rsid w:val="00536D20"/>
    <w:rsid w:val="005427CB"/>
    <w:rsid w:val="005469A1"/>
    <w:rsid w:val="0055759B"/>
    <w:rsid w:val="00565DD3"/>
    <w:rsid w:val="005701C6"/>
    <w:rsid w:val="005708CA"/>
    <w:rsid w:val="005717DB"/>
    <w:rsid w:val="005863C4"/>
    <w:rsid w:val="00587B39"/>
    <w:rsid w:val="00591B19"/>
    <w:rsid w:val="005934C0"/>
    <w:rsid w:val="005965F8"/>
    <w:rsid w:val="005B460A"/>
    <w:rsid w:val="005C39C4"/>
    <w:rsid w:val="005C3EC2"/>
    <w:rsid w:val="005C5CE6"/>
    <w:rsid w:val="005D29B5"/>
    <w:rsid w:val="005D69F9"/>
    <w:rsid w:val="005E2C00"/>
    <w:rsid w:val="005E4B54"/>
    <w:rsid w:val="005F6860"/>
    <w:rsid w:val="00600B76"/>
    <w:rsid w:val="006049F0"/>
    <w:rsid w:val="00607A72"/>
    <w:rsid w:val="006163F1"/>
    <w:rsid w:val="006175AD"/>
    <w:rsid w:val="006357DA"/>
    <w:rsid w:val="00635D61"/>
    <w:rsid w:val="0064118B"/>
    <w:rsid w:val="0064670D"/>
    <w:rsid w:val="00653E8A"/>
    <w:rsid w:val="006566BA"/>
    <w:rsid w:val="006576D6"/>
    <w:rsid w:val="00665C23"/>
    <w:rsid w:val="00667A1C"/>
    <w:rsid w:val="00670EE7"/>
    <w:rsid w:val="006771AC"/>
    <w:rsid w:val="006806CF"/>
    <w:rsid w:val="00683B87"/>
    <w:rsid w:val="006869BD"/>
    <w:rsid w:val="00690DEE"/>
    <w:rsid w:val="006930C7"/>
    <w:rsid w:val="006963BB"/>
    <w:rsid w:val="006B3642"/>
    <w:rsid w:val="006B52A8"/>
    <w:rsid w:val="006C126A"/>
    <w:rsid w:val="006C7C8F"/>
    <w:rsid w:val="006E40BF"/>
    <w:rsid w:val="006E55BA"/>
    <w:rsid w:val="006F3A12"/>
    <w:rsid w:val="006F62D7"/>
    <w:rsid w:val="00701080"/>
    <w:rsid w:val="0070490C"/>
    <w:rsid w:val="0071120F"/>
    <w:rsid w:val="00721833"/>
    <w:rsid w:val="007251C6"/>
    <w:rsid w:val="00725AC8"/>
    <w:rsid w:val="00726BBA"/>
    <w:rsid w:val="00730580"/>
    <w:rsid w:val="00731C22"/>
    <w:rsid w:val="00732490"/>
    <w:rsid w:val="00734B6B"/>
    <w:rsid w:val="00734F99"/>
    <w:rsid w:val="007427CD"/>
    <w:rsid w:val="007441EA"/>
    <w:rsid w:val="00747054"/>
    <w:rsid w:val="007560FB"/>
    <w:rsid w:val="007579E9"/>
    <w:rsid w:val="007617D0"/>
    <w:rsid w:val="00764E72"/>
    <w:rsid w:val="00766904"/>
    <w:rsid w:val="0076699F"/>
    <w:rsid w:val="00770E69"/>
    <w:rsid w:val="00773E00"/>
    <w:rsid w:val="007801CC"/>
    <w:rsid w:val="0078078B"/>
    <w:rsid w:val="00783A44"/>
    <w:rsid w:val="0079371F"/>
    <w:rsid w:val="00793E14"/>
    <w:rsid w:val="0079607D"/>
    <w:rsid w:val="007A2018"/>
    <w:rsid w:val="007A2154"/>
    <w:rsid w:val="007B4CFD"/>
    <w:rsid w:val="007B661F"/>
    <w:rsid w:val="007C6CCD"/>
    <w:rsid w:val="007C7D56"/>
    <w:rsid w:val="007D684E"/>
    <w:rsid w:val="007E1C5A"/>
    <w:rsid w:val="007E1D71"/>
    <w:rsid w:val="00807C0D"/>
    <w:rsid w:val="00814DDD"/>
    <w:rsid w:val="00815DCC"/>
    <w:rsid w:val="00824251"/>
    <w:rsid w:val="00824B05"/>
    <w:rsid w:val="00830E50"/>
    <w:rsid w:val="00834647"/>
    <w:rsid w:val="00841C79"/>
    <w:rsid w:val="00845766"/>
    <w:rsid w:val="00851637"/>
    <w:rsid w:val="00863034"/>
    <w:rsid w:val="00880776"/>
    <w:rsid w:val="008821F2"/>
    <w:rsid w:val="00882C8F"/>
    <w:rsid w:val="00884478"/>
    <w:rsid w:val="00884D0B"/>
    <w:rsid w:val="008873FF"/>
    <w:rsid w:val="008A265C"/>
    <w:rsid w:val="008A3F39"/>
    <w:rsid w:val="008A6C9E"/>
    <w:rsid w:val="008B0E67"/>
    <w:rsid w:val="008C4EB7"/>
    <w:rsid w:val="008C5E56"/>
    <w:rsid w:val="008D0C7A"/>
    <w:rsid w:val="008D164D"/>
    <w:rsid w:val="008D603C"/>
    <w:rsid w:val="008F0268"/>
    <w:rsid w:val="008F2F18"/>
    <w:rsid w:val="008F7C29"/>
    <w:rsid w:val="00903C56"/>
    <w:rsid w:val="00905F60"/>
    <w:rsid w:val="009207A2"/>
    <w:rsid w:val="00932DAF"/>
    <w:rsid w:val="00934F98"/>
    <w:rsid w:val="00942E11"/>
    <w:rsid w:val="00953BB2"/>
    <w:rsid w:val="009613FA"/>
    <w:rsid w:val="00961F9E"/>
    <w:rsid w:val="00963EFD"/>
    <w:rsid w:val="00967AE6"/>
    <w:rsid w:val="00982323"/>
    <w:rsid w:val="00985D51"/>
    <w:rsid w:val="00987C96"/>
    <w:rsid w:val="00992ABA"/>
    <w:rsid w:val="009A5670"/>
    <w:rsid w:val="009B1F59"/>
    <w:rsid w:val="009D7532"/>
    <w:rsid w:val="009F195C"/>
    <w:rsid w:val="009F5BD1"/>
    <w:rsid w:val="00A05BE7"/>
    <w:rsid w:val="00A06B47"/>
    <w:rsid w:val="00A11481"/>
    <w:rsid w:val="00A251DC"/>
    <w:rsid w:val="00A316C8"/>
    <w:rsid w:val="00A35FA9"/>
    <w:rsid w:val="00A40D6A"/>
    <w:rsid w:val="00A41761"/>
    <w:rsid w:val="00A42A22"/>
    <w:rsid w:val="00A504F2"/>
    <w:rsid w:val="00A55BEE"/>
    <w:rsid w:val="00A55F60"/>
    <w:rsid w:val="00A7566A"/>
    <w:rsid w:val="00A76A90"/>
    <w:rsid w:val="00A8461C"/>
    <w:rsid w:val="00A90DDB"/>
    <w:rsid w:val="00A92629"/>
    <w:rsid w:val="00A954FF"/>
    <w:rsid w:val="00AA0211"/>
    <w:rsid w:val="00AA1447"/>
    <w:rsid w:val="00AB54E6"/>
    <w:rsid w:val="00AB62C8"/>
    <w:rsid w:val="00AC06D3"/>
    <w:rsid w:val="00AC4C18"/>
    <w:rsid w:val="00AD066C"/>
    <w:rsid w:val="00AF2F52"/>
    <w:rsid w:val="00AF3732"/>
    <w:rsid w:val="00AF73D6"/>
    <w:rsid w:val="00B12A39"/>
    <w:rsid w:val="00B144EB"/>
    <w:rsid w:val="00B15D4E"/>
    <w:rsid w:val="00B17E32"/>
    <w:rsid w:val="00B20F9D"/>
    <w:rsid w:val="00B40383"/>
    <w:rsid w:val="00B441E1"/>
    <w:rsid w:val="00B62416"/>
    <w:rsid w:val="00B64429"/>
    <w:rsid w:val="00B65F88"/>
    <w:rsid w:val="00B660F3"/>
    <w:rsid w:val="00B665DE"/>
    <w:rsid w:val="00B75F23"/>
    <w:rsid w:val="00B77023"/>
    <w:rsid w:val="00B77755"/>
    <w:rsid w:val="00B80B66"/>
    <w:rsid w:val="00B80EA2"/>
    <w:rsid w:val="00B94492"/>
    <w:rsid w:val="00BA59C7"/>
    <w:rsid w:val="00BB0491"/>
    <w:rsid w:val="00BB38B4"/>
    <w:rsid w:val="00BC175E"/>
    <w:rsid w:val="00BC6BFB"/>
    <w:rsid w:val="00BD3ABB"/>
    <w:rsid w:val="00BD5665"/>
    <w:rsid w:val="00BE2734"/>
    <w:rsid w:val="00BE6F6A"/>
    <w:rsid w:val="00BF0EFC"/>
    <w:rsid w:val="00C070F6"/>
    <w:rsid w:val="00C106A7"/>
    <w:rsid w:val="00C167EA"/>
    <w:rsid w:val="00C17A30"/>
    <w:rsid w:val="00C324A9"/>
    <w:rsid w:val="00C364F8"/>
    <w:rsid w:val="00C4309D"/>
    <w:rsid w:val="00C64171"/>
    <w:rsid w:val="00C65D7D"/>
    <w:rsid w:val="00C735D5"/>
    <w:rsid w:val="00C80D94"/>
    <w:rsid w:val="00C90723"/>
    <w:rsid w:val="00C943BC"/>
    <w:rsid w:val="00C973AF"/>
    <w:rsid w:val="00CC2557"/>
    <w:rsid w:val="00CC6713"/>
    <w:rsid w:val="00CC6AE6"/>
    <w:rsid w:val="00CD0BA8"/>
    <w:rsid w:val="00CD741A"/>
    <w:rsid w:val="00CE02CB"/>
    <w:rsid w:val="00CE372A"/>
    <w:rsid w:val="00CE744E"/>
    <w:rsid w:val="00CF2263"/>
    <w:rsid w:val="00CF5E6B"/>
    <w:rsid w:val="00D02208"/>
    <w:rsid w:val="00D03464"/>
    <w:rsid w:val="00D03D94"/>
    <w:rsid w:val="00D20839"/>
    <w:rsid w:val="00D20932"/>
    <w:rsid w:val="00D365EB"/>
    <w:rsid w:val="00D51354"/>
    <w:rsid w:val="00D57491"/>
    <w:rsid w:val="00D61CEB"/>
    <w:rsid w:val="00D622F8"/>
    <w:rsid w:val="00D6260A"/>
    <w:rsid w:val="00D76338"/>
    <w:rsid w:val="00D77BC7"/>
    <w:rsid w:val="00D92642"/>
    <w:rsid w:val="00D97A5F"/>
    <w:rsid w:val="00DA550C"/>
    <w:rsid w:val="00DB56B9"/>
    <w:rsid w:val="00DC3C7D"/>
    <w:rsid w:val="00DC7486"/>
    <w:rsid w:val="00DD058F"/>
    <w:rsid w:val="00DD3DAD"/>
    <w:rsid w:val="00DD3F03"/>
    <w:rsid w:val="00DE5925"/>
    <w:rsid w:val="00DE6F22"/>
    <w:rsid w:val="00DF21DB"/>
    <w:rsid w:val="00DF22C6"/>
    <w:rsid w:val="00DF7350"/>
    <w:rsid w:val="00E018FC"/>
    <w:rsid w:val="00E0210B"/>
    <w:rsid w:val="00E02601"/>
    <w:rsid w:val="00E11937"/>
    <w:rsid w:val="00E1490C"/>
    <w:rsid w:val="00E15E60"/>
    <w:rsid w:val="00E22938"/>
    <w:rsid w:val="00E2631C"/>
    <w:rsid w:val="00E30DEB"/>
    <w:rsid w:val="00E313E5"/>
    <w:rsid w:val="00E34390"/>
    <w:rsid w:val="00E3584D"/>
    <w:rsid w:val="00E609EB"/>
    <w:rsid w:val="00E82D12"/>
    <w:rsid w:val="00E84411"/>
    <w:rsid w:val="00E92055"/>
    <w:rsid w:val="00E947DA"/>
    <w:rsid w:val="00E95BF5"/>
    <w:rsid w:val="00EB0FE6"/>
    <w:rsid w:val="00EB5A3F"/>
    <w:rsid w:val="00EB6B10"/>
    <w:rsid w:val="00EC4F89"/>
    <w:rsid w:val="00ED576F"/>
    <w:rsid w:val="00EE12DC"/>
    <w:rsid w:val="00EE288D"/>
    <w:rsid w:val="00EE350E"/>
    <w:rsid w:val="00EE4B16"/>
    <w:rsid w:val="00EE6708"/>
    <w:rsid w:val="00EF37B2"/>
    <w:rsid w:val="00F02487"/>
    <w:rsid w:val="00F133D9"/>
    <w:rsid w:val="00F16DA5"/>
    <w:rsid w:val="00F23717"/>
    <w:rsid w:val="00F23B45"/>
    <w:rsid w:val="00F346F5"/>
    <w:rsid w:val="00F34E6D"/>
    <w:rsid w:val="00F36B06"/>
    <w:rsid w:val="00F55F6B"/>
    <w:rsid w:val="00F6305E"/>
    <w:rsid w:val="00F81003"/>
    <w:rsid w:val="00F82501"/>
    <w:rsid w:val="00F82930"/>
    <w:rsid w:val="00F851B8"/>
    <w:rsid w:val="00FA6B88"/>
    <w:rsid w:val="00FB0CA4"/>
    <w:rsid w:val="00FB5F7A"/>
    <w:rsid w:val="00FC50BB"/>
    <w:rsid w:val="00FC5272"/>
    <w:rsid w:val="00FD6BD7"/>
    <w:rsid w:val="00FD75E3"/>
    <w:rsid w:val="00FE48F2"/>
    <w:rsid w:val="00FF1E80"/>
    <w:rsid w:val="00FF4E52"/>
    <w:rsid w:val="54D0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16784F"/>
  <w15:docId w15:val="{CBAC1E54-E90A-4C85-8C74-BD80FA9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5" w:qFormat="1"/>
    <w:lsdException w:name="toc 8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after="60"/>
    </w:pPr>
    <w:rPr>
      <w:rFonts w:ascii="Cambria" w:hAnsi="Cambria"/>
      <w:b/>
      <w:iCs/>
      <w:sz w:val="22"/>
      <w:szCs w:val="18"/>
    </w:rPr>
  </w:style>
  <w:style w:type="character" w:styleId="Emphasis">
    <w:name w:val="Emphasis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rong">
    <w:name w:val="Strong"/>
    <w:uiPriority w:val="22"/>
    <w:qFormat/>
    <w:locked/>
    <w:rPr>
      <w:b/>
      <w:b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99"/>
    <w:qFormat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paragraph" w:styleId="TOC2">
    <w:name w:val="toc 2"/>
    <w:basedOn w:val="Normal"/>
    <w:next w:val="Normal"/>
    <w:autoRedefine/>
    <w:uiPriority w:val="99"/>
    <w:qFormat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qFormat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qFormat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pPr>
      <w:ind w:left="1920"/>
    </w:pPr>
    <w:rPr>
      <w:rFonts w:ascii="Calibri" w:hAnsi="Calibri"/>
      <w:sz w:val="18"/>
      <w:szCs w:val="18"/>
    </w:rPr>
  </w:style>
  <w:style w:type="character" w:customStyle="1" w:styleId="Heading1Char">
    <w:name w:val="Heading 1 Char"/>
    <w:link w:val="Heading1"/>
    <w:uiPriority w:val="99"/>
    <w:qFormat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Pr>
      <w:rFonts w:ascii="Calibri Light" w:hAnsi="Calibri Light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qFormat/>
    <w:locked/>
    <w:rPr>
      <w:rFonts w:ascii="Calibri Light" w:hAnsi="Calibri Light"/>
      <w:b/>
      <w:sz w:val="26"/>
    </w:rPr>
  </w:style>
  <w:style w:type="character" w:customStyle="1" w:styleId="Heading4Char">
    <w:name w:val="Heading 4 Char"/>
    <w:link w:val="Heading4"/>
    <w:uiPriority w:val="99"/>
    <w:semiHidden/>
    <w:qFormat/>
    <w:locked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semiHidden/>
    <w:qFormat/>
    <w:locked/>
    <w:rPr>
      <w:rFonts w:ascii="Calibri" w:hAnsi="Calibri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/>
      <w:b/>
      <w:sz w:val="22"/>
    </w:rPr>
  </w:style>
  <w:style w:type="character" w:customStyle="1" w:styleId="Heading7Char">
    <w:name w:val="Heading 7 Char"/>
    <w:link w:val="Heading7"/>
    <w:uiPriority w:val="99"/>
    <w:semiHidden/>
    <w:qFormat/>
    <w:locked/>
    <w:rPr>
      <w:rFonts w:ascii="Calibri" w:hAnsi="Calibri"/>
      <w:sz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libri Light" w:hAnsi="Calibri Light"/>
      <w:sz w:val="22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paragraph" w:customStyle="1" w:styleId="TOCHeading1">
    <w:name w:val="TOC Heading1"/>
    <w:basedOn w:val="Heading1"/>
    <w:next w:val="Normal"/>
    <w:uiPriority w:val="99"/>
    <w:qFormat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TitleChar">
    <w:name w:val="Title Char"/>
    <w:link w:val="Title"/>
    <w:uiPriority w:val="99"/>
    <w:qFormat/>
    <w:locked/>
    <w:rPr>
      <w:rFonts w:ascii="Cambria" w:hAnsi="Cambria"/>
      <w:b/>
      <w:kern w:val="28"/>
      <w:sz w:val="32"/>
    </w:rPr>
  </w:style>
  <w:style w:type="paragraph" w:styleId="NoSpacing">
    <w:name w:val="No Spacing"/>
    <w:link w:val="NoSpacingChar"/>
    <w:uiPriority w:val="99"/>
    <w:qFormat/>
    <w:rPr>
      <w:sz w:val="24"/>
      <w:szCs w:val="24"/>
    </w:rPr>
  </w:style>
  <w:style w:type="paragraph" w:customStyle="1" w:styleId="Sub-BAB">
    <w:name w:val="Sub-BAB"/>
    <w:basedOn w:val="Heading2"/>
    <w:uiPriority w:val="9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uiPriority w:val="99"/>
    <w:pPr>
      <w:numPr>
        <w:numId w:val="2"/>
      </w:numPr>
      <w:jc w:val="left"/>
    </w:pPr>
    <w:rPr>
      <w:szCs w:val="20"/>
    </w:rPr>
  </w:style>
  <w:style w:type="paragraph" w:customStyle="1" w:styleId="BodyTeks">
    <w:name w:val="BodyTeks"/>
    <w:basedOn w:val="Normal"/>
    <w:uiPriority w:val="99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99"/>
    <w:qFormat/>
    <w:locked/>
    <w:rPr>
      <w:rFonts w:cs="Times New Roman"/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uiPriority w:val="99"/>
    <w:pPr>
      <w:jc w:val="left"/>
    </w:pPr>
    <w:rPr>
      <w:szCs w:val="20"/>
    </w:rPr>
  </w:style>
  <w:style w:type="table" w:customStyle="1" w:styleId="TableGrid1">
    <w:name w:val="Table Grid1"/>
    <w:uiPriority w:val="99"/>
    <w:qFormat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qFormat/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7341-ABA7-43E0-B463-774732A1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 KURIKULUM</vt:lpstr>
    </vt:vector>
  </TitlesOfParts>
  <Company>tim penyusun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 KURIKULUM</dc:title>
  <dc:subject>Nama program studi</dc:subject>
  <dc:creator>Nama Perguruan Tinggi</dc:creator>
  <cp:lastModifiedBy>Windows</cp:lastModifiedBy>
  <cp:revision>10</cp:revision>
  <cp:lastPrinted>2010-03-09T04:26:00Z</cp:lastPrinted>
  <dcterms:created xsi:type="dcterms:W3CDTF">2025-08-12T08:41:00Z</dcterms:created>
  <dcterms:modified xsi:type="dcterms:W3CDTF">2025-08-21T03:22:00Z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8f672fb2-0aa1-435b-a445-be3565cca130</vt:lpwstr>
  </property>
  <property fmtid="{D5CDD505-2E9C-101B-9397-08002B2CF9AE}" pid="3" name="KSOProductBuildVer">
    <vt:lpwstr>1033-12.2.0.21931</vt:lpwstr>
  </property>
  <property fmtid="{D5CDD505-2E9C-101B-9397-08002B2CF9AE}" pid="4" name="ICV">
    <vt:lpwstr>92AA2657627441D1A90D395F940A6A64_12</vt:lpwstr>
  </property>
</Properties>
</file>